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styles.xml" ContentType="application/vnd.openxmlformats-officedocument.wordprocessingml.styles+xml"/>
  <Override PartName="/docProps/core.xml" ContentType="application/vnd.openxmlformats-package.core-properties+xml"/>
  <Override PartName="/word/document.xml" ContentType="application/vnd.openxmlformats-officedocument.wordprocessingml.document.main+xml"/>
  <Override PartName="/docProps/app.xml" ContentType="application/vnd.openxmlformats-officedocument.extended-properties+xml"/>
  <Override PartName="/word/numbering.xml" ContentType="application/vnd.openxmlformats-officedocument.wordprocessingml.numbering+xml"/>
  <Override PartName="/word/theme/theme1.xml" ContentType="application/vnd.openxmlformats-officedocument.theme+xml"/>
  <Override PartName="/word/fontTable.xml" ContentType="application/vnd.openxmlformats-officedocument.wordprocessingml.fontTable+xml"/>
  <Override PartName="/word/settings.xml" ContentType="application/vnd.openxmlformats-officedocument.wordprocessingml.settings+xml"/>
</Types>
</file>

<file path=_rels/.rels><?xml version="1.0" encoding="UTF-8" standalone="yes"?><Relationships xmlns="http://schemas.openxmlformats.org/package/2006/relationships"><Relationship Id="rId2" Type="http://schemas.openxmlformats.org/officeDocument/2006/relationships/extended-properties" Target="docProps/app.xml" /><Relationship Id="rId0" Type="http://schemas.openxmlformats.org/officeDocument/2006/relationships/officeDocument" Target="word/document.xml" /><Relationship Id="rId1" Type="http://schemas.openxmlformats.org/package/2006/relationships/metadata/core-properties" Target="docProps/core.xml" /></Relationships>
</file>

<file path=word/document.xml><?xml version="1.0" encoding="utf-8"?>
<w:document xmlns:pic="http://schemas.openxmlformats.org/drawingml/2006/picture" xmlns:wp="http://schemas.openxmlformats.org/drawingml/2006/wordprocessingDrawing" xmlns:a="http://schemas.openxmlformats.org/drawingml/2006/main" xmlns:w="http://schemas.openxmlformats.org/wordprocessingml/2006/main" xmlns:r="http://schemas.openxmlformats.org/officeDocument/2006/relationships">
  <w:body>
    <w:p>
      <w:pPr>
        <w:pStyle w:val="000002"/>
        <w:pBdr/>
        <w:ind/>
        <w:jc w:val="center"/>
        <w:rPr>
          <w:rFonts w:ascii="Times New Roman" w:hAnsi="Times New Roman" w:cs="Times New Roman"/>
          <w:b/>
          <w:color w:val="000000"/>
          <w:sz w:val="28"/>
        </w:rPr>
      </w:pPr>
      <w:r>
        <w:rPr>
          <w:rFonts w:ascii="Times New Roman" w:hAnsi="Times New Roman" w:cs="Times New Roman"/>
          <w:b/>
          <w:color w:val="000000"/>
          <w:sz w:val="28"/>
        </w:rPr>
        <w:t>Data Mining Application in agriculture field</w:t>
      </w:r>
    </w:p>
    <w:p>
      <w:pPr>
        <w:pStyle w:val="000001"/>
        <w:ind/>
        <w:jc w:val="right"/>
        <w:rPr>
          <w:color w:val="000000"/>
        </w:rPr>
      </w:pPr>
      <w:r>
        <w:rPr>
          <w:color w:val="000000"/>
        </w:rPr>
        <w:t>2024316160001 Muhammad Ahmad Javeed</w:t>
      </w:r>
    </w:p>
    <w:p>
      <w:pPr>
        <w:pStyle w:val="000003"/>
        <w:numPr>
          <w:ilvl w:val="0"/>
          <w:numId w:val="1"/>
        </w:numPr>
        <w:pBdr/>
        <w:rPr>
          <w:color w:val="000000"/>
        </w:rPr>
      </w:pPr>
      <w:r>
        <w:rPr>
          <w:color w:val="000000"/>
        </w:rPr>
        <w:t>Introductions</w:t>
      </w:r>
    </w:p>
    <w:p>
      <w:pPr>
        <w:pStyle w:val="000001"/>
        <w:ind/>
        <w:jc w:val="left"/>
        <w:rPr>
          <w:color w:val="000000"/>
        </w:rPr>
      </w:pPr>
      <w:r>
        <w:rPr>
          <w:color w:val="000000"/>
        </w:rPr>
        <w:t>Rice (Oryza sativa) stands as a cornerstone of global agriculture, feeding over half the world’s population. In the era of genomics and systems biology, the accumulation of rice-related biological data has grown exponentially. To manage and make sense of this complex information, biological ontologies are employed to create structured vocabularies that standardize the annotation, integration, and retrieval of biological knowledge.</w:t>
      </w:r>
    </w:p>
    <w:p>
      <w:pPr>
        <w:pStyle w:val="000001"/>
        <w:ind/>
        <w:jc w:val="left"/>
        <w:rPr>
          <w:color w:val="000000"/>
        </w:rPr>
      </w:pPr>
      <w:r>
        <w:rPr>
          <w:color w:val="000000"/>
        </w:rPr>
        <w:t>Maintaining and updating these ontologies—known as ontology curation—is a critical but labor-intensive task, requiring domain expertise and meticulous attention to detail. Traditional data mining techniques have played a significant role in assisting curators by automatically identifying patterns, relationships, and relevant terms from large datasets.</w:t>
      </w:r>
    </w:p>
    <w:p>
      <w:pPr>
        <w:pStyle w:val="000001"/>
        <w:ind/>
        <w:jc w:val="left"/>
        <w:rPr>
          <w:color w:val="000000"/>
        </w:rPr>
      </w:pPr>
      <w:r>
        <w:rPr>
          <w:color w:val="000000"/>
        </w:rPr>
        <w:t>Recently, the advent of Large Language Models (LLMs) such as GPT and BERT has introduced a new paradigm in data-driven knowledge discovery. These models, pre-trained on massive corpora, exhibit strong capabilities in natural language understanding, contextual inference, and semantic reasoning. When applied to the rice ontology curation system, LLMs can go beyond classical data mining by:</w:t>
      </w:r>
    </w:p>
    <w:p>
      <w:pPr>
        <w:pStyle w:val="000001"/>
        <w:ind/>
        <w:jc w:val="left"/>
        <w:rPr>
          <w:color w:val="000000"/>
        </w:rPr>
      </w:pPr>
      <w:r>
        <w:rPr>
          <w:color w:val="000000"/>
        </w:rPr>
        <w:t>Automatically extracting candidate ontology terms from literature and datasets;</w:t>
      </w:r>
    </w:p>
    <w:p>
      <w:pPr>
        <w:pStyle w:val="000001"/>
        <w:ind/>
        <w:jc w:val="left"/>
        <w:rPr>
          <w:color w:val="000000"/>
        </w:rPr>
      </w:pPr>
      <w:r>
        <w:rPr>
          <w:color w:val="000000"/>
        </w:rPr>
        <w:t>Suggesting semantic relationships and hierarchies among terms;</w:t>
      </w:r>
    </w:p>
    <w:p>
      <w:pPr>
        <w:pStyle w:val="000001"/>
        <w:ind/>
        <w:jc w:val="left"/>
        <w:rPr>
          <w:color w:val="000000"/>
        </w:rPr>
      </w:pPr>
      <w:r>
        <w:rPr>
          <w:color w:val="000000"/>
        </w:rPr>
        <w:t>Supporting intelligent query expansion and ontology alignment;</w:t>
      </w:r>
    </w:p>
    <w:p>
      <w:pPr>
        <w:pStyle w:val="000001"/>
        <w:ind/>
        <w:jc w:val="left"/>
        <w:rPr>
          <w:color w:val="000000"/>
        </w:rPr>
      </w:pPr>
      <w:r>
        <w:rPr>
          <w:color w:val="000000"/>
        </w:rPr>
        <w:t>Assisting curators through interactive, context-aware dialogue systems.</w:t>
      </w:r>
    </w:p>
    <w:p>
      <w:pPr>
        <w:pStyle w:val="000001"/>
        <w:pBdr>
          <w:bottom/>
        </w:pBdr>
        <w:ind/>
        <w:jc w:val="left"/>
        <w:rPr>
          <w:color w:val="000000"/>
        </w:rPr>
      </w:pPr>
      <w:r>
        <w:rPr>
          <w:color w:val="000000"/>
        </w:rPr>
        <w:t>This document investigates the interoperation of LLMs into the rice ontology curation workflow, aiming to enhance both the efficiency and the quality of curated ontological knowledge. By combining the scalability of data mining with the language comprehension of LLMs, we propose a novel approach to semi-automated ontology development tailored for agricultural bioinformatics.</w:t>
      </w:r>
    </w:p>
    <w:p>
      <w:pPr>
        <w:pStyle w:val="000003"/>
        <w:numPr>
          <w:ilvl w:val="0"/>
          <w:numId w:val="1"/>
        </w:numPr>
        <w:pBdr/>
        <w:rPr>
          <w:color w:val="000000"/>
        </w:rPr>
      </w:pPr>
      <w:r>
        <w:rPr>
          <w:color w:val="000000"/>
        </w:rPr>
        <w:t>Data mining in curation system</w:t>
      </w:r>
    </w:p>
    <w:p>
      <w:pPr>
        <w:snapToGrid/>
        <w:spacing w:line="240"/>
        <w:ind/>
        <w:rPr>
          <w:color w:val="000000"/>
        </w:rPr>
      </w:pPr>
      <w:r>
        <w:rPr>
          <w:color w:val="000000"/>
        </w:rPr>
        <w:t>Text mining is the subfield of Data mining which can be also called Text data mining that focuses specifically on analyzing and extracting useful information from textual data.</w:t>
      </w:r>
    </w:p>
    <w:p>
      <w:pPr>
        <w:pBdr/>
        <w:snapToGrid/>
        <w:spacing w:line="240"/>
        <w:ind/>
        <w:rPr>
          <w:b/>
          <w:color w:val="000000"/>
        </w:rPr>
      </w:pPr>
      <w:r>
        <w:rPr>
          <w:color w:val="000000"/>
        </w:rPr>
        <w:t xml:space="preserve">Data mining deals with </w:t>
      </w:r>
      <w:r>
        <w:rPr>
          <w:b/>
          <w:color w:val="000000"/>
        </w:rPr>
        <w:t>discovering patterns and knowledge from structured data</w:t>
      </w:r>
      <w:r>
        <w:rPr>
          <w:color w:val="000000"/>
        </w:rPr>
        <w:t xml:space="preserve"> (like tables, spreadsheets, or databases),</w:t>
      </w:r>
      <w:r>
        <w:rPr>
          <w:b/>
          <w:color w:val="000000"/>
        </w:rPr>
        <w:t xml:space="preserve"> text mining handles unstructured or semi-structured text data — such as emails, social media posts, research articles, or reports.</w:t>
      </w:r>
    </w:p>
    <w:p>
      <w:pPr>
        <w:pStyle w:val="000004"/>
        <w:numPr>
          <w:ilvl w:val="1"/>
          <w:numId w:val="1"/>
        </w:numPr>
        <w:pBdr/>
        <w:rPr>
          <w:color w:val="000000"/>
        </w:rPr>
      </w:pPr>
      <w:r>
        <w:rPr>
          <w:color w:val="000000"/>
        </w:rPr>
        <w:t>Textpresso (2004)</w:t>
      </w:r>
    </w:p>
    <w:p>
      <w:pPr>
        <w:pBdr/>
        <w:snapToGrid/>
        <w:spacing w:line="240"/>
        <w:ind/>
        <w:rPr>
          <w:color w:val="000000"/>
        </w:rPr>
      </w:pPr>
      <w:r>
        <w:rPr>
          <w:color w:val="000000"/>
        </w:rPr>
        <w:t>This is the example of Text mining.The working of Text presso is splits papers into sentences, and sentences into words or phrases. Each word or phrase is then labeled using the eXtensible Markup Language (XML) according to the lexicon of our ontology.</w:t>
      </w:r>
    </w:p>
    <w:p>
      <w:pPr>
        <w:pBdr/>
        <w:snapToGrid/>
        <w:spacing w:line="240"/>
        <w:ind/>
        <w:rPr>
          <w:i w:val="false"/>
          <w:strike w:val="false"/>
          <w:color w:val="000000"/>
          <w:spacing w:val="0"/>
          <w:u w:val="none"/>
        </w:rPr>
      </w:pPr>
      <w:r>
        <w:rPr>
          <w:i w:val="false"/>
          <w:strike w:val="false"/>
          <w:color w:val="000000"/>
          <w:spacing w:val="0"/>
          <w:u w:val="none"/>
        </w:rPr>
        <w:t>Textpresso builds its C. elegans database from four sources. A collection of articles in PDF format is compiled according to the canonical C. elegans bibliography maintained at the CGC (http:// www.cbs.umn.edu/CGC/ CGC homepage.htm). As of March 2004 , aurthor had around 3,800 (60%) CGC papers in our database. Software developed by authors converts the PDFs to plain text. Aurthor import additional bibliographical information from WormBase: titles of documents and author and citation information. WormBase data comprise additional C. elegans-related documents such as C. elegans meeting abstracts and Worm Breeder’s Gazette articles.Aurthor also curate certain types of data ourselves.</w:t>
      </w:r>
    </w:p>
    <w:p>
      <w:pPr>
        <w:pBdr>
          <w:bottom/>
        </w:pBdr>
        <w:snapToGrid/>
        <w:spacing w:line="240"/>
        <w:ind/>
        <w:rPr>
          <w:color w:val="000000"/>
        </w:rPr>
      </w:pPr>
      <w:r>
        <w:rPr>
          <w:i w:val="false"/>
          <w:strike w:val="false"/>
          <w:color w:val="000000"/>
          <w:spacing w:val="0"/>
          <w:u w:val="none"/>
        </w:rPr>
        <w:t xml:space="preserve">Later in 2018 , their team published the latest the textpresso centeral </w:t>
      </w:r>
      <w:r>
        <w:rPr>
          <w:color w:val="000000"/>
        </w:rPr>
        <w:t>,"</w:t>
      </w:r>
      <w:r>
        <w:rPr>
          <w:rFonts w:ascii="Europa" w:hAnsi="Europa" w:cs="Europa"/>
          <w:b/>
          <w:i w:val="false"/>
          <w:strike w:val="false"/>
          <w:color w:val="000000"/>
          <w:spacing w:val="0"/>
          <w:sz w:val="22"/>
          <w:u w:val="none"/>
          <w:shd w:val="clear" w:color="auto" w:fill="FFFFFF"/>
        </w:rPr>
        <w:t>Textpresso Central: a customizable platform for searching, text mining, viewing, and curating biomedical literature</w:t>
      </w:r>
      <w:r>
        <w:rPr>
          <w:color w:val="000000"/>
        </w:rPr>
        <w:t>", which is more  optiomized and provide better features.</w:t>
      </w:r>
    </w:p>
    <w:p>
      <w:pPr>
        <w:pStyle w:val="000004"/>
        <w:numPr>
          <w:ilvl w:val="1"/>
          <w:numId w:val="1"/>
        </w:numPr>
        <w:pBdr/>
        <w:rPr>
          <w:color w:val="000000"/>
        </w:rPr>
      </w:pPr>
      <w:r>
        <w:rPr>
          <w:color w:val="000000"/>
        </w:rPr>
        <w:t>Processing of TextPresso</w:t>
      </w:r>
    </w:p>
    <w:p>
      <w:pPr>
        <w:pBdr/>
        <w:snapToGrid/>
        <w:spacing w:line="240"/>
        <w:ind/>
        <w:rPr>
          <w:color w:val="000000"/>
        </w:rPr>
      </w:pPr>
      <w:r>
        <w:rPr>
          <w:color w:val="000000"/>
        </w:rPr>
        <w:drawing>
          <wp:inline distT="0" distB="0" distL="0" distR="0">
            <wp:extent cx="5278120" cy="6766821"/>
            <wp:effectExtent l="0" t="0" r="0" b="0"/>
            <wp:docPr id="2" name="picture" descr="descript"/>
            <wp:cNvGraphicFramePr/>
            <a:graphic>
              <a:graphicData uri="http://schemas.openxmlformats.org/drawingml/2006/picture">
                <pic:pic>
                  <pic:nvPicPr>
                    <pic:cNvPr id="3" name="picture" descr="descript"/>
                    <pic:cNvPicPr/>
                  </pic:nvPicPr>
                  <pic:blipFill rotWithShape="true">
                    <a:blip r:embed="rId5"/>
                    <a:stretch/>
                  </pic:blipFill>
                  <pic:spPr>
                    <a:xfrm>
                      <a:off x="0" y="0"/>
                      <a:ext cx="5278120" cy="6766821"/>
                    </a:xfrm>
                    <a:prstGeom prst="rect">
                      <a:avLst/>
                    </a:prstGeom>
                  </pic:spPr>
                </pic:pic>
              </a:graphicData>
            </a:graphic>
          </wp:inline>
        </w:drawing>
      </w:r>
    </w:p>
    <w:p>
      <w:pPr>
        <w:pStyle w:val="000004"/>
        <w:numPr>
          <w:ilvl w:val="1"/>
          <w:numId w:val="1"/>
        </w:numPr>
        <w:pBdr/>
        <w:rPr>
          <w:color w:val="000000"/>
        </w:rPr>
      </w:pPr>
      <w:r>
        <w:rPr>
          <w:color w:val="000000"/>
        </w:rPr>
        <w:t>Results</w:t>
      </w:r>
    </w:p>
    <w:p>
      <w:pPr>
        <w:pBdr>
          <w:bottom/>
        </w:pBdr>
        <w:snapToGrid/>
        <w:spacing w:line="240"/>
        <w:ind/>
        <w:rPr>
          <w:color w:val="000000"/>
        </w:rPr>
      </w:pPr>
      <w:r>
        <w:rPr>
          <w:color w:val="000000"/>
        </w:rPr>
        <w:drawing>
          <wp:inline distT="0" distB="0" distL="0" distR="0">
            <wp:extent cx="5278120" cy="1978695"/>
            <wp:effectExtent l="0" t="0" r="0" b="0"/>
            <wp:docPr id="5" name="picture" descr="descript"/>
            <wp:cNvGraphicFramePr/>
            <a:graphic>
              <a:graphicData uri="http://schemas.openxmlformats.org/drawingml/2006/picture">
                <pic:pic>
                  <pic:nvPicPr>
                    <pic:cNvPr id="6" name="picture" descr="descript"/>
                    <pic:cNvPicPr/>
                  </pic:nvPicPr>
                  <pic:blipFill rotWithShape="true">
                    <a:blip r:embed="rId6"/>
                    <a:stretch/>
                  </pic:blipFill>
                  <pic:spPr>
                    <a:xfrm>
                      <a:off x="0" y="0"/>
                      <a:ext cx="5278120" cy="1978695"/>
                    </a:xfrm>
                    <a:prstGeom prst="rect">
                      <a:avLst/>
                    </a:prstGeom>
                  </pic:spPr>
                </pic:pic>
              </a:graphicData>
            </a:graphic>
          </wp:inline>
        </w:drawing>
      </w:r>
    </w:p>
    <w:p>
      <w:pPr>
        <w:pStyle w:val="000001"/>
        <w:rPr>
          <w:color w:val="000000"/>
        </w:rPr>
      </w:pPr>
    </w:p>
    <w:p>
      <w:pPr>
        <w:pStyle w:val="000001"/>
        <w:pBdr/>
        <w:ind/>
        <w:jc w:val="left"/>
        <w:rPr>
          <w:color w:val="000000"/>
        </w:rPr>
      </w:pPr>
    </w:p>
    <w:p>
      <w:pPr>
        <w:pStyle w:val="000003"/>
        <w:numPr>
          <w:ilvl w:val="0"/>
          <w:numId w:val="1"/>
        </w:numPr>
        <w:pBdr/>
        <w:rPr>
          <w:color w:val="000000"/>
        </w:rPr>
      </w:pPr>
      <w:r>
        <w:rPr>
          <w:color w:val="000000"/>
        </w:rPr>
        <w:t>How LLM can interact with Data mining application</w:t>
      </w:r>
    </w:p>
    <w:p>
      <w:pPr>
        <w:snapToGrid/>
        <w:spacing w:line="240"/>
        <w:ind w:left="0"/>
        <w:rPr>
          <w:color w:val="000000"/>
        </w:rPr>
      </w:pPr>
      <w:r>
        <w:rPr>
          <w:i w:val="false"/>
          <w:strike w:val="false"/>
          <w:color w:val="000000"/>
          <w:u w:val="none"/>
        </w:rPr>
        <w:t>Large Language Models (LLMs) like GPT can interact with data mining applications in several ways, leveraging their natural language understanding and generation capabilities to enhance various stages of the data mining process. Here's how LLMs can integrate with data mining:</w:t>
      </w:r>
    </w:p>
    <w:p>
      <w:pPr>
        <w:pStyle w:val="000001"/>
        <w:rPr>
          <w:color w:val="000000"/>
        </w:rPr>
      </w:pPr>
      <w:r>
        <w:rPr>
          <w:color w:val="000000"/>
        </w:rPr>
        <w:t>1. Data Preprocessing</w:t>
      </w:r>
    </w:p>
    <w:p>
      <w:pPr>
        <w:snapToGrid/>
        <w:spacing w:line="240"/>
        <w:ind w:left="0"/>
        <w:rPr>
          <w:color w:val="000000"/>
        </w:rPr>
      </w:pPr>
      <w:r>
        <w:rPr>
          <w:color w:val="000000"/>
        </w:rPr>
        <w:t>2. Data Interpretation and Exploration</w:t>
      </w:r>
    </w:p>
    <w:p>
      <w:pPr>
        <w:snapToGrid/>
        <w:spacing w:line="240"/>
        <w:ind w:left="0"/>
        <w:rPr>
          <w:color w:val="000000"/>
        </w:rPr>
      </w:pPr>
      <w:r>
        <w:rPr>
          <w:color w:val="000000"/>
        </w:rPr>
        <w:t>3. Querying Data</w:t>
      </w:r>
    </w:p>
    <w:p>
      <w:pPr>
        <w:snapToGrid/>
        <w:spacing w:line="240"/>
        <w:ind w:left="0"/>
        <w:rPr>
          <w:color w:val="000000"/>
        </w:rPr>
      </w:pPr>
      <w:r>
        <w:rPr>
          <w:color w:val="000000"/>
        </w:rPr>
        <w:t>4. Pattern Recognition and Model Building</w:t>
      </w:r>
    </w:p>
    <w:p>
      <w:pPr>
        <w:snapToGrid/>
        <w:spacing w:line="240"/>
        <w:ind w:left="0"/>
        <w:rPr>
          <w:color w:val="000000"/>
        </w:rPr>
      </w:pPr>
      <w:r>
        <w:rPr>
          <w:color w:val="000000"/>
        </w:rPr>
        <w:t>5. Visualization and Reporting</w:t>
      </w:r>
    </w:p>
    <w:p>
      <w:pPr>
        <w:snapToGrid/>
        <w:spacing w:line="240"/>
        <w:ind w:left="0"/>
        <w:rPr>
          <w:color w:val="000000"/>
        </w:rPr>
      </w:pPr>
      <w:r>
        <w:rPr>
          <w:color w:val="000000"/>
        </w:rPr>
        <w:t>6. Decision Support</w:t>
      </w:r>
    </w:p>
    <w:p>
      <w:pPr>
        <w:snapToGrid/>
        <w:spacing w:line="240"/>
        <w:ind w:left="0"/>
        <w:rPr>
          <w:color w:val="000000"/>
        </w:rPr>
      </w:pPr>
      <w:r>
        <w:rPr>
          <w:color w:val="000000"/>
        </w:rPr>
        <w:t>7. Collaboration and Accessibility</w:t>
      </w:r>
    </w:p>
    <w:p>
      <w:pPr>
        <w:snapToGrid/>
        <w:spacing w:line="240"/>
        <w:ind w:left="0"/>
        <w:rPr>
          <w:color w:val="000000"/>
        </w:rPr>
      </w:pPr>
      <w:r>
        <w:rPr>
          <w:color w:val="000000"/>
        </w:rPr>
        <w:t>8. Anomaly Detection and Alerting</w:t>
      </w:r>
    </w:p>
    <w:p>
      <w:pPr>
        <w:numPr>
          <w:ilvl w:val="0"/>
          <w:numId w:val="2"/>
        </w:numPr>
        <w:pBdr/>
        <w:snapToGrid/>
        <w:spacing w:line="240"/>
        <w:ind/>
        <w:rPr>
          <w:color w:val="000000"/>
        </w:rPr>
      </w:pPr>
      <w:r>
        <w:rPr>
          <w:color w:val="000000"/>
        </w:rPr>
        <w:t>Automated Data Mining</w:t>
      </w:r>
    </w:p>
    <w:p>
      <w:pPr>
        <w:numPr/>
        <w:pBdr/>
        <w:snapToGrid/>
        <w:spacing w:line="240"/>
        <w:ind w:left="0"/>
        <w:rPr>
          <w:i w:val="false"/>
          <w:strike w:val="false"/>
          <w:color w:val="000000"/>
          <w:u w:val="none"/>
        </w:rPr>
      </w:pPr>
      <w:r>
        <w:rPr>
          <w:i w:val="false"/>
          <w:strike w:val="false"/>
          <w:color w:val="000000"/>
          <w:u w:val="none"/>
        </w:rPr>
        <w:t>By combining LLMs' natural language understanding and generation abilities with data mining's capabilities, organizations can greatly enhance their data analysis processes. This integration can help in making data mining more accessible, automating tedious tasks, and providing deeper insights from complex datasets.</w:t>
      </w:r>
    </w:p>
    <w:p>
      <w:pPr>
        <w:numPr/>
        <w:pBdr>
          <w:bottom/>
        </w:pBdr>
        <w:snapToGrid/>
        <w:spacing w:line="240"/>
        <w:ind w:left="0"/>
        <w:rPr>
          <w:color w:val="000000"/>
        </w:rPr>
      </w:pPr>
      <w:r>
        <w:rPr>
          <w:b/>
          <w:color w:val="000000"/>
        </w:rPr>
        <w:t>Examples :</w:t>
      </w:r>
      <w:r>
        <w:rPr>
          <w:color w:val="000000"/>
        </w:rPr>
        <w:t xml:space="preserve"> </w:t>
      </w:r>
      <w:r>
        <w:rPr>
          <w:i w:val="false"/>
          <w:strike w:val="false"/>
          <w:color w:val="000000"/>
          <w:u w:val="none"/>
        </w:rPr>
        <w:t>customer service interactions, Sales performance graph, Improve inventory management,Fraud detection , understandablity of complex model etc..</w:t>
      </w:r>
    </w:p>
    <w:p>
      <w:pPr>
        <w:pBdr/>
        <w:snapToGrid/>
        <w:spacing w:line="240"/>
        <w:ind w:left="0"/>
        <w:rPr>
          <w:color w:val="000000"/>
        </w:rPr>
      </w:pPr>
    </w:p>
    <w:p>
      <w:pPr>
        <w:pStyle w:val="000003"/>
        <w:numPr>
          <w:ilvl w:val="0"/>
          <w:numId w:val="1"/>
        </w:numPr>
        <w:pBdr/>
        <w:rPr>
          <w:color w:val="000000"/>
        </w:rPr>
      </w:pPr>
      <w:r>
        <w:rPr>
          <w:color w:val="000000"/>
        </w:rPr>
        <w:t>Example and applications</w:t>
      </w:r>
    </w:p>
    <w:p>
      <w:pPr>
        <w:pBdr/>
        <w:snapToGrid/>
        <w:spacing w:line="240"/>
        <w:ind w:left="0"/>
        <w:rPr>
          <w:i w:val="false"/>
          <w:strike w:val="false"/>
          <w:color w:val="000000"/>
          <w:u w:val="none"/>
        </w:rPr>
      </w:pPr>
      <w:r>
        <w:rPr>
          <w:i w:val="false"/>
          <w:strike w:val="false"/>
          <w:color w:val="000000"/>
          <w:u w:val="none"/>
        </w:rPr>
        <w:t>Data mining is the process of extracting important and useful information from large sets of data.</w:t>
      </w:r>
    </w:p>
    <w:p>
      <w:pPr>
        <w:pBdr/>
        <w:snapToGrid/>
        <w:spacing w:line="240"/>
        <w:ind w:left="0"/>
        <w:rPr>
          <w:i w:val="false"/>
          <w:strike w:val="false"/>
          <w:color w:val="000000"/>
          <w:u w:val="none"/>
        </w:rPr>
      </w:pPr>
      <w:r>
        <w:rPr>
          <w:i w:val="false"/>
          <w:strike w:val="false"/>
          <w:color w:val="000000"/>
          <w:u w:val="none"/>
        </w:rPr>
        <w:t>Support Vector Machine (SVM) algorithms are developed for weed-crop discrimination and their accuracies are compared with a conventional data-aggregation method based on the evaluation of discrete Normalised Difference Vegetation Indices (NDVIs) at two different wavelengths. A testbed is especially built to collect the spectral reflectance properties of corn (as a crop) and silver beet (as a weed) at 635 nm, 685 nm, and 785 nm, at a speed of 7.2 km/h. Results show that the use of the Gaussian-kernel SVM method, in conjunction with either raw reflected intensities or NDVI values as inputs, provides better discrimination accuracy than that attained using the discrete NDVI-based aggregation algorithm. Experimental results carried out in laboratory conditions demonstrate that the developed Gaussian SVM algorithms can classify corn and silver beet with corn/silver-beet discrimination accuracies of 97%, whereas the maximum accuracy attained using the conventional NDVI-based method does not exceed 70%.</w:t>
      </w:r>
    </w:p>
    <w:p>
      <w:pPr>
        <w:pBdr/>
        <w:snapToGrid/>
        <w:spacing w:line="240"/>
        <w:ind w:left="0"/>
        <w:rPr>
          <w:i w:val="false"/>
          <w:strike w:val="false"/>
          <w:color w:val="000000"/>
          <w:u w:val="none"/>
        </w:rPr>
      </w:pPr>
    </w:p>
    <w:p>
      <w:pPr>
        <w:pBdr/>
        <w:snapToGrid/>
        <w:spacing w:line="240"/>
        <w:ind w:left="0"/>
        <w:rPr>
          <w:i w:val="false"/>
          <w:strike w:val="false"/>
          <w:color w:val="000000"/>
          <w:u w:val="none"/>
        </w:rPr>
      </w:pPr>
      <w:r>
        <w:rPr>
          <w:i w:val="false"/>
          <w:strike w:val="false"/>
          <w:color w:val="000000"/>
          <w:u w:val="none"/>
        </w:rPr>
        <w:drawing>
          <wp:inline distT="0" distB="0" distL="0" distR="0">
            <wp:extent cx="5278120" cy="2346846"/>
            <wp:effectExtent l="0" t="0" r="0" b="0"/>
            <wp:docPr id="8" name="picture" descr="descript"/>
            <wp:cNvGraphicFramePr/>
            <a:graphic>
              <a:graphicData uri="http://schemas.openxmlformats.org/drawingml/2006/picture">
                <pic:pic>
                  <pic:nvPicPr>
                    <pic:cNvPr id="9" name="picture" descr="descript"/>
                    <pic:cNvPicPr/>
                  </pic:nvPicPr>
                  <pic:blipFill rotWithShape="true">
                    <a:blip r:embed="rId7"/>
                    <a:stretch/>
                  </pic:blipFill>
                  <pic:spPr>
                    <a:xfrm>
                      <a:off x="0" y="0"/>
                      <a:ext cx="5278120" cy="2346846"/>
                    </a:xfrm>
                    <a:prstGeom prst="rect">
                      <a:avLst/>
                    </a:prstGeom>
                  </pic:spPr>
                </pic:pic>
              </a:graphicData>
            </a:graphic>
          </wp:inline>
        </w:drawing>
      </w:r>
    </w:p>
    <w:p>
      <w:pPr>
        <w:pBdr/>
        <w:snapToGrid/>
        <w:spacing w:line="240"/>
        <w:ind w:left="0"/>
        <w:rPr>
          <w:i w:val="false"/>
          <w:strike w:val="false"/>
          <w:color w:val="000000"/>
          <w:u w:val="none"/>
        </w:rPr>
      </w:pPr>
    </w:p>
    <w:p>
      <w:pPr>
        <w:pBdr/>
        <w:snapToGrid/>
        <w:spacing w:line="240"/>
        <w:ind w:left="0"/>
        <w:rPr>
          <w:i w:val="false"/>
          <w:strike w:val="false"/>
          <w:color w:val="000000"/>
          <w:spacing w:val="0"/>
          <w:u w:val="none"/>
        </w:rPr>
      </w:pPr>
      <w:r>
        <w:rPr>
          <w:i w:val="false"/>
          <w:strike w:val="false"/>
          <w:color w:val="000000"/>
          <w:spacing w:val="0"/>
          <w:u w:val="none"/>
        </w:rPr>
        <w:t>The real-time Plant Discrimination Unit (PDU) shown in above image comprised two sets of three-laser modules, two symmetric coated optical cavities, plus a linear array of high-speed photo detectors (a line-scan camera) and a motherboard housing six sub-modules including a laser driver, a central processing unit, a temperature controller, a board for a nozzle activator, a driver for the line-scan camera, and analogue and digital power supplies. The PDU unit was robustly boxed, using a rigid container and a light-weight dust shield, to overcome tough operational conditions, including vibrations, shocks, and high temperatures.</w:t>
      </w:r>
    </w:p>
    <w:p>
      <w:pPr>
        <w:pStyle w:val="000005"/>
        <w:pBdr>
          <w:bottom/>
        </w:pBdr>
        <w:snapToGrid/>
        <w:spacing w:before="0" w:after="0" w:line="360"/>
        <w:ind w:left="0" w:right="0" w:hanging="0"/>
        <w:rPr/>
      </w:pPr>
      <w:r>
        <w:rPr>
          <w:rFonts w:ascii="ElsevierGulliver" w:hAnsi="ElsevierGulliver" w:cs="ElsevierGulliver"/>
          <w:i w:val="false"/>
          <w:strike w:val="false"/>
          <w:color w:val="1F1F1F"/>
          <w:spacing w:val="0"/>
          <w:sz w:val="30"/>
          <w:u w:val="none"/>
        </w:rPr>
        <w:t>NDVI calculation</w:t>
      </w:r>
    </w:p>
    <w:p>
      <w:pPr>
        <w:pBdr/>
        <w:snapToGrid/>
        <w:spacing w:line="240"/>
        <w:ind w:left="0"/>
        <w:rPr>
          <w:i w:val="false"/>
          <w:strike w:val="false"/>
          <w:color w:val="000000"/>
          <w:spacing w:val="0"/>
          <w:u w:val="none"/>
        </w:rPr>
      </w:pPr>
      <w:r>
        <w:rPr>
          <w:i w:val="false"/>
          <w:strike w:val="false"/>
          <w:color w:val="000000"/>
          <w:spacing w:val="0"/>
          <w:u w:val="none"/>
        </w:rPr>
        <w:t>The spatial profile of the detected beams was approximately Gaussian, and each beam occupied around 13 pixels, illustrated in below as peak region. Peak detection was performed to calculate the intensities of the reflected laser beams (Paap, 2014). The location of the peaks was recorded. Each peak existed in a region above the predetermined threshold. The starting and ending pixels of the region in which the peak exists were also recorded, as shown in below.</w:t>
      </w:r>
    </w:p>
    <w:p>
      <w:pPr>
        <w:pBdr/>
        <w:snapToGrid/>
        <w:spacing w:line="240"/>
        <w:ind w:left="0"/>
        <w:rPr>
          <w:i w:val="false"/>
          <w:strike w:val="false"/>
          <w:color w:val="000000"/>
          <w:spacing w:val="0"/>
          <w:u w:val="none"/>
        </w:rPr>
      </w:pPr>
      <w:r>
        <w:rPr>
          <w:i w:val="false"/>
          <w:strike w:val="false"/>
          <w:color w:val="000000"/>
          <w:spacing w:val="0"/>
          <w:u w:val="none"/>
        </w:rPr>
        <w:drawing>
          <wp:inline distT="0" distB="0" distL="0" distR="0">
            <wp:extent cx="5278120" cy="2538611"/>
            <wp:effectExtent l="0" t="0" r="0" b="0"/>
            <wp:docPr id="11" name="picture" descr="descript"/>
            <wp:cNvGraphicFramePr/>
            <a:graphic>
              <a:graphicData uri="http://schemas.openxmlformats.org/drawingml/2006/picture">
                <pic:pic>
                  <pic:nvPicPr>
                    <pic:cNvPr id="12" name="picture" descr="descript"/>
                    <pic:cNvPicPr/>
                  </pic:nvPicPr>
                  <pic:blipFill rotWithShape="true">
                    <a:blip r:embed="rId8"/>
                    <a:stretch/>
                  </pic:blipFill>
                  <pic:spPr>
                    <a:xfrm>
                      <a:off x="0" y="0"/>
                      <a:ext cx="5278120" cy="2538611"/>
                    </a:xfrm>
                    <a:prstGeom prst="rect">
                      <a:avLst/>
                    </a:prstGeom>
                  </pic:spPr>
                </pic:pic>
              </a:graphicData>
            </a:graphic>
          </wp:inline>
        </w:drawing>
      </w:r>
    </w:p>
    <w:p>
      <w:pPr>
        <w:pBdr/>
        <w:snapToGrid/>
        <w:spacing w:line="240"/>
        <w:ind w:left="0"/>
        <w:rPr>
          <w:i w:val="false"/>
          <w:strike w:val="false"/>
          <w:color w:val="000000"/>
          <w:spacing w:val="0"/>
          <w:u w:val="none"/>
        </w:rPr>
      </w:pPr>
      <w:r>
        <w:rPr>
          <w:i w:val="false"/>
          <w:strike w:val="false"/>
          <w:color w:val="000000"/>
          <w:spacing w:val="0"/>
          <w:u w:val="none"/>
        </w:rPr>
        <w:t>Subsequently, the peak value was normalised with respect to the optical power of the incident beams emerging from the cavities, which were previously recorded by a Newport power meter, as follows</w:t>
      </w:r>
    </w:p>
    <w:p>
      <w:pPr>
        <w:pBdr/>
        <w:snapToGrid/>
        <w:spacing w:line="240"/>
        <w:ind w:left="0"/>
        <w:rPr>
          <w:i w:val="false"/>
          <w:strike w:val="false"/>
          <w:color w:val="000000"/>
          <w:spacing w:val="0"/>
          <w:u w:val="none"/>
        </w:rPr>
      </w:pPr>
      <w:r>
        <w:rPr>
          <w:i w:val="false"/>
          <w:strike w:val="false"/>
          <w:color w:val="000000"/>
          <w:spacing w:val="0"/>
          <w:u w:val="none"/>
        </w:rPr>
        <w:drawing>
          <wp:inline distT="0" distB="0" distL="0" distR="0">
            <wp:extent cx="5278120" cy="460450"/>
            <wp:effectExtent l="0" t="0" r="0" b="0"/>
            <wp:docPr id="14" name="picture" descr="descript"/>
            <wp:cNvGraphicFramePr/>
            <a:graphic>
              <a:graphicData uri="http://schemas.openxmlformats.org/drawingml/2006/picture">
                <pic:pic>
                  <pic:nvPicPr>
                    <pic:cNvPr id="15" name="picture" descr="descript"/>
                    <pic:cNvPicPr/>
                  </pic:nvPicPr>
                  <pic:blipFill rotWithShape="true">
                    <a:blip r:embed="rId9"/>
                    <a:stretch/>
                  </pic:blipFill>
                  <pic:spPr>
                    <a:xfrm>
                      <a:off x="0" y="0"/>
                      <a:ext cx="5278120" cy="460450"/>
                    </a:xfrm>
                    <a:prstGeom prst="rect">
                      <a:avLst/>
                    </a:prstGeom>
                  </pic:spPr>
                </pic:pic>
              </a:graphicData>
            </a:graphic>
          </wp:inline>
        </w:drawing>
      </w:r>
    </w:p>
    <w:p>
      <w:pPr>
        <w:snapToGrid/>
        <w:spacing w:before="0" w:after="0" w:line="240"/>
        <w:ind w:left="0" w:right="0" w:hanging="0"/>
        <w:rPr/>
      </w:pPr>
      <w:r>
        <w:rPr>
          <w:rFonts w:ascii="ElsevierGulliver" w:hAnsi="ElsevierGulliver" w:cs="ElsevierGulliver"/>
          <w:i w:val="false"/>
          <w:strike w:val="false"/>
          <w:color w:val="1F1F1F"/>
          <w:spacing w:val="0"/>
          <w:sz w:val="24"/>
          <w:u w:val="none"/>
        </w:rPr>
        <w:t xml:space="preserve">where </w:t>
      </w:r>
      <w:r>
        <w:rPr>
          <w:rFonts w:ascii="ElsevierGulliver" w:hAnsi="ElsevierGulliver" w:cs="ElsevierGulliver"/>
          <w:i w:val="false"/>
          <w:strike w:val="false"/>
          <w:color w:val="1F1F1F"/>
          <w:spacing w:val="0"/>
          <w:sz w:val="22"/>
          <w:u w:val="none"/>
        </w:rPr>
        <w:t>R</w:t>
      </w:r>
      <w:r>
        <w:rPr>
          <w:rFonts w:ascii="ElsevierGulliver" w:hAnsi="ElsevierGulliver" w:cs="ElsevierGulliver"/>
          <w:i w:val="false"/>
          <w:strike w:val="false"/>
          <w:color w:val="1F1F1F"/>
          <w:spacing w:val="0"/>
          <w:sz w:val="22"/>
          <w:u w:val="none"/>
          <w:vertAlign w:val="subscript"/>
        </w:rPr>
        <w:t>λ</w:t>
      </w:r>
      <w:r>
        <w:rPr>
          <w:rFonts w:ascii="ElsevierGulliver" w:hAnsi="ElsevierGulliver" w:cs="ElsevierGulliver"/>
          <w:i w:val="false"/>
          <w:strike w:val="false"/>
          <w:color w:val="1F1F1F"/>
          <w:spacing w:val="0"/>
          <w:sz w:val="24"/>
          <w:u w:val="none"/>
        </w:rPr>
        <w:t xml:space="preserve"> is the measured peak of the reflected beam, D</w:t>
      </w:r>
      <w:r>
        <w:rPr>
          <w:rFonts w:ascii="ElsevierGulliver" w:hAnsi="ElsevierGulliver" w:cs="ElsevierGulliver"/>
          <w:i w:val="false"/>
          <w:strike w:val="false"/>
          <w:color w:val="1F1F1F"/>
          <w:spacing w:val="0"/>
          <w:sz w:val="18"/>
          <w:u w:val="none"/>
          <w:vertAlign w:val="subscript"/>
        </w:rPr>
        <w:t>λ</w:t>
      </w:r>
      <w:r>
        <w:rPr>
          <w:rFonts w:ascii="ElsevierGulliver" w:hAnsi="ElsevierGulliver" w:cs="ElsevierGulliver"/>
          <w:i w:val="false"/>
          <w:strike w:val="false"/>
          <w:color w:val="1F1F1F"/>
          <w:spacing w:val="0"/>
          <w:sz w:val="24"/>
          <w:u w:val="none"/>
        </w:rPr>
        <w:t xml:space="preserve"> is the power of the laser beam emerging from the cavity.</w:t>
      </w:r>
    </w:p>
    <w:p>
      <w:pPr>
        <w:pBdr/>
        <w:snapToGrid/>
        <w:spacing w:before="0" w:after="0" w:line="240"/>
        <w:ind w:left="0" w:right="0" w:hanging="0"/>
        <w:rPr>
          <w:rFonts w:ascii="ElsevierGulliver" w:hAnsi="ElsevierGulliver" w:cs="ElsevierGulliver"/>
          <w:i w:val="false"/>
          <w:strike w:val="false"/>
          <w:color w:val="1F1F1F"/>
          <w:spacing w:val="0"/>
          <w:sz w:val="24"/>
          <w:u w:val="none"/>
        </w:rPr>
      </w:pPr>
      <w:r>
        <w:rPr>
          <w:rFonts w:ascii="ElsevierGulliver" w:hAnsi="ElsevierGulliver" w:cs="ElsevierGulliver"/>
          <w:i w:val="false"/>
          <w:strike w:val="false"/>
          <w:color w:val="1F1F1F"/>
          <w:spacing w:val="0"/>
          <w:sz w:val="24"/>
          <w:u w:val="none"/>
        </w:rPr>
        <w:t>The measured intensities of the laser beams reflected off the vegetation were used for the calculation of two different NDVIs, defined as</w:t>
      </w:r>
    </w:p>
    <w:p>
      <w:pPr>
        <w:pBdr/>
        <w:snapToGrid/>
        <w:spacing w:before="0" w:after="0" w:line="240"/>
        <w:ind w:left="0" w:right="0" w:hanging="0"/>
        <w:jc w:val="center"/>
        <w:rPr/>
      </w:pPr>
      <w:r>
        <w:rPr/>
        <w:drawing>
          <wp:inline distT="0" distB="0" distL="0" distR="0">
            <wp:extent cx="2266950" cy="866775"/>
            <wp:effectExtent l="0" t="0" r="0" b="0"/>
            <wp:docPr id="17" name="picture" descr="descript"/>
            <wp:cNvGraphicFramePr/>
            <a:graphic>
              <a:graphicData uri="http://schemas.openxmlformats.org/drawingml/2006/picture">
                <pic:pic>
                  <pic:nvPicPr>
                    <pic:cNvPr id="18" name="picture" descr="descript"/>
                    <pic:cNvPicPr/>
                  </pic:nvPicPr>
                  <pic:blipFill rotWithShape="true">
                    <a:blip r:embed="rId10"/>
                    <a:stretch/>
                  </pic:blipFill>
                  <pic:spPr>
                    <a:xfrm>
                      <a:off x="0" y="0"/>
                      <a:ext cx="2266950" cy="866775"/>
                    </a:xfrm>
                    <a:prstGeom prst="rect">
                      <a:avLst/>
                    </a:prstGeom>
                  </pic:spPr>
                </pic:pic>
              </a:graphicData>
            </a:graphic>
          </wp:inline>
        </w:drawing>
      </w:r>
    </w:p>
    <w:p>
      <w:pPr>
        <w:snapToGrid/>
        <w:spacing w:before="0" w:after="0" w:line="240"/>
        <w:ind w:left="0" w:right="0" w:hanging="0"/>
        <w:rPr/>
      </w:pPr>
      <w:r>
        <w:rPr>
          <w:rFonts w:ascii="ElsevierGulliver" w:hAnsi="ElsevierGulliver" w:cs="ElsevierGulliver"/>
          <w:i w:val="false"/>
          <w:strike w:val="false"/>
          <w:color w:val="1F1F1F"/>
          <w:spacing w:val="0"/>
          <w:sz w:val="24"/>
          <w:u w:val="none"/>
        </w:rPr>
        <w:t xml:space="preserve">where, </w:t>
      </w:r>
      <w:r>
        <w:rPr>
          <w:rFonts w:ascii="ElsevierGulliver" w:hAnsi="ElsevierGulliver" w:cs="ElsevierGulliver"/>
          <w:i w:val="false"/>
          <w:strike w:val="false"/>
          <w:color w:val="1F1F1F"/>
          <w:spacing w:val="0"/>
          <w:sz w:val="22"/>
          <w:u w:val="none"/>
        </w:rPr>
        <w:t>P</w:t>
      </w:r>
      <w:r>
        <w:rPr>
          <w:rFonts w:ascii="ElsevierGulliver" w:hAnsi="ElsevierGulliver" w:cs="ElsevierGulliver"/>
          <w:i w:val="false"/>
          <w:strike w:val="false"/>
          <w:color w:val="1F1F1F"/>
          <w:spacing w:val="0"/>
          <w:sz w:val="22"/>
          <w:u w:val="none"/>
          <w:vertAlign w:val="baseline"/>
        </w:rPr>
        <w:t>635</w:t>
      </w:r>
      <w:r>
        <w:rPr>
          <w:rFonts w:ascii="ElsevierGulliver" w:hAnsi="ElsevierGulliver" w:cs="ElsevierGulliver"/>
          <w:i w:val="false"/>
          <w:strike w:val="false"/>
          <w:color w:val="1F1F1F"/>
          <w:spacing w:val="0"/>
          <w:sz w:val="22"/>
          <w:u w:val="none"/>
        </w:rPr>
        <w:t>,P685</w:t>
      </w:r>
      <w:r>
        <w:rPr>
          <w:rFonts w:ascii="ElsevierGulliver" w:hAnsi="ElsevierGulliver" w:cs="ElsevierGulliver"/>
          <w:i w:val="false"/>
          <w:strike w:val="false"/>
          <w:color w:val="1F1F1F"/>
          <w:spacing w:val="0"/>
          <w:sz w:val="24"/>
          <w:u w:val="none"/>
        </w:rPr>
        <w:t xml:space="preserve">, and </w:t>
      </w:r>
      <w:r>
        <w:rPr>
          <w:rFonts w:ascii="ElsevierGulliver" w:hAnsi="ElsevierGulliver" w:cs="ElsevierGulliver"/>
          <w:i w:val="false"/>
          <w:strike w:val="false"/>
          <w:color w:val="1F1F1F"/>
          <w:spacing w:val="0"/>
          <w:sz w:val="22"/>
          <w:u w:val="none"/>
        </w:rPr>
        <w:t>P785</w:t>
      </w:r>
      <w:r>
        <w:rPr>
          <w:rFonts w:ascii="ElsevierGulliver" w:hAnsi="ElsevierGulliver" w:cs="ElsevierGulliver"/>
          <w:i w:val="false"/>
          <w:strike w:val="false"/>
          <w:color w:val="1F1F1F"/>
          <w:spacing w:val="0"/>
          <w:sz w:val="24"/>
          <w:u w:val="none"/>
        </w:rPr>
        <w:t xml:space="preserve"> are the detected intensities of the 635 nm, 685 nm, and 785 nm laser beams reflected off the vegetation or background. It is clear from Eqs. </w:t>
      </w:r>
      <w:r>
        <w:rPr/>
        <w:fldChar w:fldCharType="begin"/>
      </w:r>
      <w:r>
        <w:rPr/>
        <w:instrText>HYPERLINK https://www.sciencedirect.com/science/article/pii/S0168169917310268#e0010 normalLink \tdft \tdfe -10 \tdfid \tddp \tdop \tdlt inline \tdds \tdfvi \tdlf \l \tdsub normalLink \tdkey gf503i \tdkey gf503i</w:instrText>
      </w:r>
      <w:r>
        <w:rPr/>
        <w:fldChar w:fldCharType="separate"/>
      </w:r>
      <w:r>
        <w:rPr>
          <w:rStyle w:val="000016"/>
          <w:color/>
        </w:rPr>
        <w:t>(2)</w:t>
      </w:r>
      <w:r>
        <w:rPr/>
        <w:fldChar w:fldCharType="end"/>
      </w:r>
      <w:r>
        <w:rPr>
          <w:rFonts w:ascii="ElsevierGulliver" w:hAnsi="ElsevierGulliver" w:cs="ElsevierGulliver"/>
          <w:i w:val="false"/>
          <w:strike w:val="false"/>
          <w:color w:val="1F1F1F"/>
          <w:spacing w:val="0"/>
          <w:sz w:val="24"/>
          <w:u w:val="none"/>
        </w:rPr>
        <w:t xml:space="preserve">, </w:t>
      </w:r>
      <w:r>
        <w:rPr/>
        <w:fldChar w:fldCharType="begin"/>
      </w:r>
      <w:r>
        <w:rPr/>
        <w:instrText>HYPERLINK https://www.sciencedirect.com/science/article/pii/S0168169917310268#e0015 normalLink \tdft \tdfe -10 \tdfid \tddp \tdop \tdlt inline \tdds \tdfvi \tdlf \l \tdsub normalLink \tdkey e3iin4 \tdkey e3iin4</w:instrText>
      </w:r>
      <w:r>
        <w:rPr/>
        <w:fldChar w:fldCharType="separate"/>
      </w:r>
      <w:r>
        <w:rPr>
          <w:rStyle w:val="000016"/>
          <w:color/>
        </w:rPr>
        <w:t>(3)</w:t>
      </w:r>
      <w:r>
        <w:rPr/>
        <w:fldChar w:fldCharType="end"/>
      </w:r>
      <w:r>
        <w:rPr>
          <w:rFonts w:ascii="ElsevierGulliver" w:hAnsi="ElsevierGulliver" w:cs="ElsevierGulliver"/>
          <w:i w:val="false"/>
          <w:strike w:val="false"/>
          <w:color w:val="1F1F1F"/>
          <w:spacing w:val="0"/>
          <w:sz w:val="24"/>
          <w:u w:val="none"/>
        </w:rPr>
        <w:t xml:space="preserve"> that the NDVIs represent the slop of the </w:t>
      </w:r>
      <w:r>
        <w:rPr/>
        <w:fldChar w:fldCharType="begin"/>
      </w:r>
      <w:r>
        <w:rPr/>
        <w:instrText>HYPERLINK https://www.sciencedirect.com/topics/engineering/reflectance-spectrum normalLink \tdft \tdfe -10 \tdfid \tddp \tdop \tdlt inline \tdds \tdfvi \tdlf \l \tdsub normalLink \tdkey k7bhzt \tdkey k7bhzt</w:instrText>
      </w:r>
      <w:r>
        <w:rPr/>
        <w:fldChar w:fldCharType="separate"/>
      </w:r>
      <w:r>
        <w:rPr>
          <w:rStyle w:val="000016"/>
          <w:color/>
        </w:rPr>
        <w:t>reflectance spectrum</w:t>
      </w:r>
      <w:r>
        <w:rPr/>
        <w:fldChar w:fldCharType="end"/>
      </w:r>
      <w:r>
        <w:rPr>
          <w:rFonts w:ascii="ElsevierGulliver" w:hAnsi="ElsevierGulliver" w:cs="ElsevierGulliver"/>
          <w:i w:val="false"/>
          <w:strike w:val="false"/>
          <w:color w:val="1F1F1F"/>
          <w:spacing w:val="0"/>
          <w:sz w:val="24"/>
          <w:u w:val="none"/>
        </w:rPr>
        <w:t xml:space="preserve"> of a plant at two different wavelengths. The NDVI is typically a number between −1 and 1. The intensities of the reflected laser beams were sequentially detected by the 512-pixel line-scan sensor and converted to </w:t>
      </w:r>
      <w:r>
        <w:rPr/>
        <w:fldChar w:fldCharType="begin"/>
      </w:r>
      <w:r>
        <w:rPr/>
        <w:instrText>HYPERLINK https://www.sciencedirect.com/topics/engineering/digital-data normalLink \tdft \tdfe -10 \tdfid \tddp \tdop \tdlt inline \tdds \tdfvi \tdlf \l \tdsub normalLink \tdkey jkl8a6 \tdkey jkl8a6</w:instrText>
      </w:r>
      <w:r>
        <w:rPr/>
        <w:fldChar w:fldCharType="separate"/>
      </w:r>
      <w:r>
        <w:rPr>
          <w:rStyle w:val="000016"/>
          <w:color/>
        </w:rPr>
        <w:t>digital data</w:t>
      </w:r>
      <w:r>
        <w:rPr/>
        <w:fldChar w:fldCharType="end"/>
      </w:r>
      <w:r>
        <w:rPr>
          <w:rFonts w:ascii="ElsevierGulliver" w:hAnsi="ElsevierGulliver" w:cs="ElsevierGulliver"/>
          <w:i w:val="false"/>
          <w:strike w:val="false"/>
          <w:color w:val="1F1F1F"/>
          <w:spacing w:val="0"/>
          <w:sz w:val="24"/>
          <w:u w:val="none"/>
        </w:rPr>
        <w:t>. To eliminate the effect of ambient light, the background light intensities (noise) were measured for each pixel and stored in a memory bank immediately before switching a laser source on, and then subtracted from the measured beam intensities after the laser source had been switched on.</w:t>
      </w:r>
    </w:p>
    <w:p>
      <w:pPr>
        <w:pBdr/>
        <w:snapToGrid/>
        <w:spacing w:before="0" w:after="0" w:line="240"/>
        <w:ind w:left="0" w:right="0" w:hanging="0"/>
        <w:rPr>
          <w:rFonts w:ascii="ElsevierGulliver" w:hAnsi="ElsevierGulliver" w:cs="ElsevierGulliver"/>
          <w:i w:val="false"/>
          <w:strike w:val="false"/>
          <w:color w:val="1F1F1F"/>
          <w:spacing w:val="0"/>
          <w:sz w:val="24"/>
          <w:u w:val="none"/>
        </w:rPr>
      </w:pPr>
      <w:r>
        <w:rPr>
          <w:rFonts w:ascii="ElsevierGulliver" w:hAnsi="ElsevierGulliver" w:cs="ElsevierGulliver"/>
          <w:i w:val="false"/>
          <w:strike w:val="false"/>
          <w:color w:val="1F1F1F"/>
          <w:spacing w:val="0"/>
          <w:sz w:val="24"/>
          <w:u w:val="none"/>
        </w:rPr>
        <w:t xml:space="preserve">Since chlorophyll in plants exhibits high </w:t>
      </w:r>
      <w:r>
        <w:rPr/>
        <w:fldChar w:fldCharType="begin"/>
      </w:r>
      <w:r>
        <w:rPr/>
        <w:instrText>HYPERLINK https://www.sciencedirect.com/topics/engineering/absorption-property normalLink \tdft \tdfe -10 \tdfid \tddp \tdop \tdlt inline \tdds \tdfvi \tdlf \l \tdsub normalLink \tdkey pgt91c \tdkey pgt91c</w:instrText>
      </w:r>
      <w:r>
        <w:rPr/>
        <w:fldChar w:fldCharType="separate"/>
      </w:r>
      <w:r>
        <w:rPr>
          <w:rStyle w:val="000016"/>
          <w:color/>
        </w:rPr>
        <w:t>absorption properties</w:t>
      </w:r>
      <w:r>
        <w:rPr/>
        <w:fldChar w:fldCharType="end"/>
      </w:r>
      <w:r>
        <w:rPr>
          <w:rFonts w:ascii="ElsevierGulliver" w:hAnsi="ElsevierGulliver" w:cs="ElsevierGulliver"/>
          <w:i w:val="false"/>
          <w:strike w:val="false"/>
          <w:color w:val="1F1F1F"/>
          <w:spacing w:val="0"/>
          <w:sz w:val="24"/>
          <w:u w:val="none"/>
        </w:rPr>
        <w:t xml:space="preserve"> in the red region and low absorption properties in the NIR region, measuring the NDVI around the red edge (i.e., between the visible and the near-infrared regions) enables the health status and key properties of the plants to be identified. Note that intense sunlight might influence the NDVI value, and hence, a shield is typically used to minimise the impact of atmospheric conditions in real-time weed detection runs.</w:t>
      </w:r>
    </w:p>
    <w:p>
      <w:pPr>
        <w:pBdr/>
        <w:snapToGrid/>
        <w:spacing w:before="0" w:after="0" w:line="240"/>
        <w:ind w:left="0" w:right="0" w:hanging="0"/>
        <w:rPr/>
      </w:pPr>
    </w:p>
    <w:p>
      <w:pPr>
        <w:pStyle w:val="000005"/>
        <w:pBdr>
          <w:bottom/>
        </w:pBdr>
        <w:snapToGrid/>
        <w:spacing w:before="0" w:after="0" w:line="360"/>
        <w:ind w:left="0" w:right="0" w:hanging="0"/>
        <w:rPr/>
      </w:pPr>
      <w:r>
        <w:rPr>
          <w:rFonts w:ascii="ElsevierGulliver" w:hAnsi="ElsevierGulliver" w:cs="ElsevierGulliver"/>
          <w:i w:val="false"/>
          <w:strike w:val="false"/>
          <w:color w:val="1F1F1F"/>
          <w:spacing w:val="0"/>
          <w:sz w:val="30"/>
          <w:u w:val="none"/>
        </w:rPr>
        <w:t>Input structure</w:t>
      </w:r>
    </w:p>
    <w:p>
      <w:pPr>
        <w:snapToGrid/>
        <w:spacing w:before="0" w:after="0" w:line="240"/>
        <w:ind w:left="0" w:right="0" w:hanging="0"/>
        <w:rPr/>
      </w:pPr>
      <w:r>
        <w:rPr/>
        <w:drawing>
          <wp:inline distT="0" distB="0" distL="0" distR="0">
            <wp:extent cx="5278120" cy="4345708"/>
            <wp:effectExtent l="0" t="0" r="0" b="0"/>
            <wp:docPr id="20" name="picture" descr="descript"/>
            <wp:cNvGraphicFramePr/>
            <a:graphic>
              <a:graphicData uri="http://schemas.openxmlformats.org/drawingml/2006/picture">
                <pic:pic>
                  <pic:nvPicPr>
                    <pic:cNvPr id="21" name="picture" descr="descript"/>
                    <pic:cNvPicPr/>
                  </pic:nvPicPr>
                  <pic:blipFill rotWithShape="true">
                    <a:blip r:embed="rId11"/>
                    <a:stretch/>
                  </pic:blipFill>
                  <pic:spPr>
                    <a:xfrm>
                      <a:off x="0" y="0"/>
                      <a:ext cx="5278120" cy="4345708"/>
                    </a:xfrm>
                    <a:prstGeom prst="rect">
                      <a:avLst/>
                    </a:prstGeom>
                  </pic:spPr>
                </pic:pic>
              </a:graphicData>
            </a:graphic>
          </wp:inline>
        </w:drawing>
      </w:r>
    </w:p>
    <w:p>
      <w:pPr>
        <w:snapToGrid/>
        <w:spacing w:before="0" w:after="0" w:line="240"/>
        <w:ind w:left="0" w:right="0" w:hanging="0"/>
        <w:jc w:val="left"/>
        <w:rPr/>
      </w:pPr>
    </w:p>
    <w:p>
      <w:pPr>
        <w:pStyle w:val="000005"/>
        <w:pBdr/>
        <w:snapToGrid/>
        <w:spacing w:before="0" w:after="0" w:line="360"/>
        <w:ind w:left="0" w:right="0" w:hanging="0"/>
        <w:rPr>
          <w:rFonts w:ascii="ElsevierGulliver" w:hAnsi="ElsevierGulliver" w:cs="ElsevierGulliver"/>
          <w:i w:val="false"/>
          <w:strike w:val="false"/>
          <w:color w:val="1F1F1F"/>
          <w:spacing w:val="0"/>
          <w:sz w:val="30"/>
          <w:u w:val="none"/>
        </w:rPr>
      </w:pPr>
      <w:r>
        <w:rPr>
          <w:rFonts w:ascii="ElsevierGulliver" w:hAnsi="ElsevierGulliver" w:cs="ElsevierGulliver"/>
          <w:i w:val="false"/>
          <w:strike w:val="false"/>
          <w:color w:val="1F1F1F"/>
          <w:spacing w:val="0"/>
          <w:sz w:val="30"/>
          <w:u w:val="none"/>
        </w:rPr>
        <w:t>Data analysis</w:t>
      </w:r>
    </w:p>
    <w:p>
      <w:pPr>
        <w:pBdr/>
        <w:snapToGrid/>
        <w:spacing w:before="0" w:after="0" w:line="240"/>
        <w:ind w:left="0" w:right="0" w:hanging="0"/>
        <w:rPr>
          <w:rFonts w:ascii="ElsevierGulliver" w:hAnsi="ElsevierGulliver" w:cs="ElsevierGulliver"/>
          <w:i w:val="false"/>
          <w:strike w:val="false"/>
          <w:color w:val="1F1F1F"/>
          <w:spacing w:val="0"/>
          <w:sz w:val="24"/>
          <w:u w:val="none"/>
        </w:rPr>
      </w:pPr>
      <w:r>
        <w:rPr>
          <w:rFonts w:ascii="ElsevierGulliver" w:hAnsi="ElsevierGulliver" w:cs="ElsevierGulliver"/>
          <w:i w:val="false"/>
          <w:strike w:val="false"/>
          <w:color w:val="1F1F1F"/>
          <w:spacing w:val="0"/>
          <w:sz w:val="24"/>
          <w:u w:val="none"/>
        </w:rPr>
        <w:t>Three 15-cm-diameter pots, containing either silver beet or corn plants, were distributed over a span of 550 mm. The size of the input data set for each scan was 550, corresponding to a spatial resolution of 1 mm. Since the material filling the gaps between the pots was soil (not green), data-set blocks that exhibited less than 15% green content (i.e., where the soil content was dominant) were discarded. This reduced the number of data-set blocks from 19 to between 7 and 12. Note that species were considered green when their NDVI values were in the range 400–800; otherwise, they were considered soil.</w:t>
      </w:r>
    </w:p>
    <w:p>
      <w:pPr>
        <w:pBdr/>
        <w:snapToGrid/>
        <w:spacing w:before="0" w:after="0" w:line="240"/>
        <w:ind w:left="0" w:right="0" w:hanging="0"/>
        <w:rPr>
          <w:rFonts w:ascii="ElsevierGulliver" w:hAnsi="ElsevierGulliver" w:cs="ElsevierGulliver"/>
          <w:i w:val="false"/>
          <w:strike w:val="false"/>
          <w:color w:val="1F1F1F"/>
          <w:spacing w:val="0"/>
          <w:sz w:val="24"/>
          <w:u w:val="none"/>
        </w:rPr>
      </w:pPr>
    </w:p>
    <w:p>
      <w:pPr>
        <w:pStyle w:val="000001"/>
        <w:pBdr>
          <w:bottom/>
        </w:pBdr>
        <w:snapToGrid/>
        <w:spacing w:before="0" w:after="0" w:line="360"/>
        <w:ind w:left="0" w:right="0" w:hanging="0"/>
        <w:rPr/>
      </w:pPr>
      <w:r>
        <w:rPr/>
        <w:drawing>
          <wp:inline distT="0" distB="0" distL="0" distR="0">
            <wp:extent cx="2962275" cy="3933825"/>
            <wp:effectExtent l="0" t="0" r="0" b="0"/>
            <wp:docPr id="23" name="picture" descr="descript"/>
            <wp:cNvGraphicFramePr/>
            <a:graphic>
              <a:graphicData uri="http://schemas.openxmlformats.org/drawingml/2006/picture">
                <pic:pic>
                  <pic:nvPicPr>
                    <pic:cNvPr id="24" name="picture" descr="descript"/>
                    <pic:cNvPicPr/>
                  </pic:nvPicPr>
                  <pic:blipFill rotWithShape="true">
                    <a:blip r:embed="rId12"/>
                    <a:stretch/>
                  </pic:blipFill>
                  <pic:spPr>
                    <a:xfrm>
                      <a:off x="0" y="0"/>
                      <a:ext cx="2962275" cy="3933825"/>
                    </a:xfrm>
                    <a:prstGeom prst="rect">
                      <a:avLst/>
                    </a:prstGeom>
                  </pic:spPr>
                </pic:pic>
              </a:graphicData>
            </a:graphic>
          </wp:inline>
        </w:drawing>
      </w:r>
    </w:p>
    <w:p>
      <w:pPr>
        <w:pStyle w:val="000005"/>
        <w:pBdr/>
        <w:snapToGrid/>
        <w:spacing w:before="0" w:after="0" w:line="360"/>
        <w:ind w:left="0" w:right="0" w:hanging="0"/>
        <w:rPr>
          <w:rFonts w:ascii="ElsevierGulliver" w:hAnsi="ElsevierGulliver" w:cs="ElsevierGulliver"/>
          <w:i w:val="false"/>
          <w:strike w:val="false"/>
          <w:color w:val="1F1F1F"/>
          <w:spacing w:val="0"/>
          <w:sz w:val="30"/>
          <w:u w:val="none"/>
        </w:rPr>
      </w:pPr>
      <w:r>
        <w:rPr>
          <w:rFonts w:ascii="ElsevierGulliver" w:hAnsi="ElsevierGulliver" w:cs="ElsevierGulliver"/>
          <w:i w:val="false"/>
          <w:strike w:val="false"/>
          <w:color w:val="1F1F1F"/>
          <w:spacing w:val="0"/>
          <w:sz w:val="30"/>
          <w:u w:val="none"/>
        </w:rPr>
        <w:t>Discussion and Concolusions</w:t>
      </w:r>
    </w:p>
    <w:p>
      <w:pPr>
        <w:pBdr/>
        <w:snapToGrid/>
        <w:spacing w:before="0" w:after="0" w:line="240"/>
        <w:ind w:left="0" w:right="0" w:hanging="0"/>
        <w:rPr>
          <w:rFonts w:ascii="ElsevierGulliver" w:hAnsi="ElsevierGulliver" w:cs="ElsevierGulliver"/>
          <w:i w:val="false"/>
          <w:strike w:val="false"/>
          <w:color w:val="1F1F1F"/>
          <w:spacing w:val="0"/>
          <w:sz w:val="24"/>
          <w:u w:val="none"/>
        </w:rPr>
      </w:pPr>
      <w:r>
        <w:rPr>
          <w:rFonts w:ascii="ElsevierGulliver" w:hAnsi="ElsevierGulliver" w:cs="ElsevierGulliver"/>
          <w:i w:val="false"/>
          <w:strike w:val="false"/>
          <w:color w:val="1F1F1F"/>
          <w:spacing w:val="0"/>
          <w:sz w:val="24"/>
          <w:u w:val="none"/>
        </w:rPr>
        <w:t>Algorithms based on Support Vector Machine (SVM) learning with NDVI and raw data inputs were developed and their weed-crop discrimination performances were evaluated and compared with a conventional plant discrimination algorithm based on the measurement of discrete NDVIs and the use of data aggregation. Data was collected by measuring the spectral reflectance properties of corn (as a crop) and silver beet (as a weed) at 635 nm, 685 nm, and 785 nm. The results of this work show that the discrimination performance of the Gaussian-kernel SVM algorithm, with either raw reflected intensities or NDVI values being used as inputs, provides better discrimination accuracy than the conventional discrete NDVI-based aggregation algorithm. Experimental results, carried out in laboratory conditions, demonstrated that the Gaussian SVM algorithms can classify corn from silver beet with corn/silver-beet discrimination accuracy of 97%, whereas the maximum accuracy attained using the conventional NDVI-based method does not exceed 70%. The key scientific contribution of this paper was the demonstration of the ability of the SVM algorithm to classify broad-leaved (silver beet) and narrow-leaved (corn) plants with high accuracy by generating a set of 100 raw reflected intensities. The application of machine learning techniques for plant classification opens the way for new techniques for weed management and precision agriculture.</w:t>
      </w:r>
    </w:p>
    <w:p>
      <w:pPr>
        <w:pStyle w:val="000003"/>
        <w:numPr>
          <w:ilvl w:val="0"/>
          <w:numId w:val="1"/>
        </w:numPr>
        <w:pBdr/>
        <w:rPr>
          <w:color w:val="000000"/>
        </w:rPr>
      </w:pPr>
      <w:r>
        <w:rPr>
          <w:color w:val="000000"/>
        </w:rPr>
        <w:t>My Project</w:t>
      </w:r>
    </w:p>
    <w:p>
      <w:pPr>
        <w:pStyle w:val="000005"/>
        <w:numPr>
          <w:ilvl w:val="2"/>
          <w:numId w:val="1"/>
        </w:numPr>
        <w:pBdr/>
        <w:rPr>
          <w:color w:val="000000"/>
        </w:rPr>
      </w:pPr>
      <w:r>
        <w:rPr>
          <w:color w:val="000000"/>
        </w:rPr>
        <w:t>A curation system for RTO with Interoperation LLM with RiceAlterome</w:t>
      </w:r>
    </w:p>
    <w:p>
      <w:pPr>
        <w:pStyle w:val="000001"/>
        <w:pBdr/>
        <w:ind/>
        <w:rPr/>
      </w:pPr>
      <w:r>
        <w:rPr/>
        <w:t>This project was proposed in BLAH9 (BIomedical Linked Annotation Hackathon) , Japan . Here is the introduction of the project:</w:t>
      </w:r>
    </w:p>
    <w:p>
      <w:pPr>
        <w:pStyle w:val="000001"/>
        <w:pBdr/>
        <w:ind/>
        <w:rPr/>
      </w:pPr>
      <w:r>
        <w:rPr/>
        <w:t xml:space="preserve">The development of specialized ontologies such as the Rice trait Ontology facilitates the organization and standardization of knowledge in the area of plant biology. Studies of rice, which is one of the most important food crops in the world, have been conducted for many years. Ontologies are also important tools for the integration and retrieval of phylogenetic information enabling the more comprehensive investigation of biological systems.  </w:t>
      </w:r>
      <w:r>
        <w:rPr/>
        <w:fldChar w:fldCharType="begin"/>
      </w:r>
      <w:r>
        <w:rPr/>
        <w:instrText>HYPERLINK https://sites.google.com/view/ont-interoperation-hzaubionlp normalLink \tdfe -10 \tdlt text \tdsub normalLink \tdkey ljj9jf</w:instrText>
      </w:r>
      <w:r>
        <w:rPr/>
        <w:fldChar w:fldCharType="separate"/>
      </w:r>
      <w:r>
        <w:rPr>
          <w:rStyle w:val="000016"/>
        </w:rPr>
        <w:t>Click here.</w:t>
      </w:r>
      <w:r>
        <w:rPr/>
        <w:fldChar w:fldCharType="end"/>
      </w:r>
    </w:p>
    <w:p>
      <w:pPr>
        <w:pStyle w:val="000001"/>
        <w:pBdr/>
        <w:ind/>
        <w:rPr/>
      </w:pPr>
    </w:p>
    <w:p>
      <w:pPr>
        <w:pStyle w:val="000001"/>
        <w:pBdr/>
        <w:ind/>
        <w:rPr/>
      </w:pPr>
      <w:r>
        <w:rPr/>
        <w:drawing>
          <wp:inline distT="0" distB="0" distL="0" distR="0">
            <wp:extent cx="5662395" cy="2001087"/>
            <wp:effectExtent l="0" t="0" r="0" b="0"/>
            <wp:docPr id="26" name="picture" descr="descript"/>
            <wp:cNvGraphicFramePr/>
            <a:graphic>
              <a:graphicData uri="http://schemas.openxmlformats.org/drawingml/2006/picture">
                <pic:pic>
                  <pic:nvPicPr>
                    <pic:cNvPr id="27" name="picture" descr="descript"/>
                    <pic:cNvPicPr/>
                  </pic:nvPicPr>
                  <pic:blipFill rotWithShape="true">
                    <a:blip r:embed="rId13">
                      <a:extLst/>
                    </a:blip>
                    <a:stretch/>
                  </pic:blipFill>
                  <pic:spPr>
                    <a:xfrm flipH="false" flipV="false">
                      <a:off x="0" y="0"/>
                      <a:ext cx="5662395" cy="2001087"/>
                    </a:xfrm>
                    <a:prstGeom prst="rect">
                      <a:avLst/>
                    </a:prstGeom>
                  </pic:spPr>
                </pic:pic>
              </a:graphicData>
            </a:graphic>
          </wp:inline>
        </w:drawing>
      </w:r>
    </w:p>
    <w:p>
      <w:pPr>
        <w:pStyle w:val="000006"/>
        <w:numPr>
          <w:ilvl w:val="3"/>
          <w:numId w:val="1"/>
        </w:numPr>
        <w:pBdr/>
        <w:rPr>
          <w:color w:val="000000"/>
        </w:rPr>
      </w:pPr>
      <w:r>
        <w:rPr>
          <w:color w:val="000000"/>
        </w:rPr>
        <w:t>RiceAlterome</w:t>
      </w:r>
    </w:p>
    <w:p>
      <w:pPr>
        <w:pStyle w:val="000001"/>
        <w:pBdr/>
        <w:ind/>
        <w:rPr/>
      </w:pPr>
      <w:r>
        <w:rPr/>
        <w:t>RiceALterome is a curated dataset designed by the HZAU-BionNLP team. This dataset contains more than 500k, which contains the relationship of gene and named entity relationship (NER). That data set is directly linked with PubMed IDs, which provide the evidence of a particular sentence. These sentences are properly annotated, describing the different terminologies, like if gene, mutation, effects, stress, and various other terms.</w:t>
      </w:r>
    </w:p>
    <w:p>
      <w:pPr>
        <w:pStyle w:val="000001"/>
        <w:pBdr/>
        <w:ind/>
        <w:rPr/>
      </w:pPr>
      <w:r>
        <w:rPr/>
        <w:drawing>
          <wp:inline distT="0" distB="0" distL="0" distR="0">
            <wp:extent cx="5278120" cy="2372647"/>
            <wp:effectExtent l="0" t="0" r="0" b="0"/>
            <wp:docPr id="29" name="picture" descr="descript"/>
            <wp:cNvGraphicFramePr/>
            <a:graphic>
              <a:graphicData uri="http://schemas.openxmlformats.org/drawingml/2006/picture">
                <pic:pic>
                  <pic:nvPicPr>
                    <pic:cNvPr id="30" name="picture" descr="descript"/>
                    <pic:cNvPicPr/>
                  </pic:nvPicPr>
                  <pic:blipFill rotWithShape="true">
                    <a:blip r:embed="rId14"/>
                    <a:stretch/>
                  </pic:blipFill>
                  <pic:spPr>
                    <a:xfrm>
                      <a:off x="0" y="0"/>
                      <a:ext cx="5278120" cy="2372647"/>
                    </a:xfrm>
                    <a:prstGeom prst="rect">
                      <a:avLst/>
                    </a:prstGeom>
                  </pic:spPr>
                </pic:pic>
              </a:graphicData>
            </a:graphic>
          </wp:inline>
        </w:drawing>
      </w:r>
    </w:p>
    <w:p>
      <w:pPr>
        <w:pStyle w:val="000001"/>
        <w:pBdr>
          <w:bottom/>
        </w:pBdr>
        <w:ind/>
        <w:rPr/>
      </w:pPr>
      <w:r>
        <w:rPr/>
        <w:t>HZAU-BioNLP team also design ontologies based system which defined Rice Trait Ontology (RTO)</w:t>
      </w:r>
      <w:r>
        <w:rPr>
          <w:rStyle w:val="000016"/>
          <w:color/>
        </w:rPr>
        <w:fldChar w:fldCharType="begin"/>
      </w:r>
      <w:r>
        <w:rPr>
          <w:rStyle w:val="000016"/>
          <w:color/>
        </w:rPr>
        <w:instrText xml:space="preserve">HYPERLINK http://lit-evi.hzau.edu.cn/RTO/ normalLink \tdkey 9s9prz \tdfe -10 \tdfn http%3A//lit-evi.hzau.edu.cn/RTO/ \tdfu http://lit-evi.hzau.edu.cn/RTO/ \tdlt inline </w:instrText>
      </w:r>
      <w:r>
        <w:rPr>
          <w:rStyle w:val="000016"/>
          <w:color/>
        </w:rPr>
        <w:fldChar w:fldCharType="separate"/>
      </w:r>
      <w:r>
        <w:rPr>
          <w:rStyle w:val="000016"/>
          <w:color/>
        </w:rPr>
        <w:t>http://lit-evi.hzau.edu.cn/RTO/</w:t>
      </w:r>
      <w:r>
        <w:rPr>
          <w:rStyle w:val="000016"/>
          <w:color/>
        </w:rPr>
        <w:fldChar w:fldCharType="end"/>
      </w:r>
      <w:r>
        <w:rPr/>
        <w:t>.</w:t>
      </w:r>
      <w:r>
        <w:rPr/>
        <w:br w:type="textWrapping"/>
      </w:r>
      <w:r>
        <w:rPr/>
        <w:t xml:space="preserve">Ontology Trait definition can also be find from  </w:t>
      </w:r>
      <w:r>
        <w:rPr>
          <w:rStyle w:val="000016"/>
          <w:color/>
        </w:rPr>
        <w:fldChar w:fldCharType="begin"/>
      </w:r>
      <w:r>
        <w:rPr>
          <w:rStyle w:val="000016"/>
          <w:color/>
        </w:rPr>
        <w:instrText xml:space="preserve">HYPERLINK http://lit-evi.hzau.edu.cn/RiceTraitOntology/ normalLink \tdkey 8nn9ti \tdfe -10 \tdfn http%3A//lit-evi.hzau.edu.cn/RiceTraitOntology/ \tdfu http://lit-evi.hzau.edu.cn/RiceTraitOntology/ \tdlt inline </w:instrText>
      </w:r>
      <w:r>
        <w:rPr>
          <w:rStyle w:val="000016"/>
          <w:color/>
        </w:rPr>
        <w:fldChar w:fldCharType="separate"/>
      </w:r>
      <w:r>
        <w:rPr>
          <w:rStyle w:val="000016"/>
          <w:color/>
        </w:rPr>
        <w:t>http://lit-evi.hzau.edu.cn/RiceTraitOntology/</w:t>
      </w:r>
      <w:r>
        <w:rPr>
          <w:rStyle w:val="000016"/>
          <w:color/>
        </w:rPr>
        <w:fldChar w:fldCharType="end"/>
      </w:r>
      <w:r>
        <w:rPr/>
        <w:t xml:space="preserve">. </w:t>
      </w:r>
    </w:p>
    <w:p>
      <w:pPr>
        <w:pStyle w:val="000006"/>
        <w:numPr>
          <w:ilvl w:val="3"/>
          <w:numId w:val="1"/>
        </w:numPr>
        <w:pBdr/>
        <w:rPr>
          <w:color w:val="000000"/>
        </w:rPr>
      </w:pPr>
      <w:r>
        <w:rPr>
          <w:color w:val="000000"/>
        </w:rPr>
        <w:t>Interoperation with LLM {KIMI , Deepseek , Chatgpt}</w:t>
      </w:r>
    </w:p>
    <w:p>
      <w:pPr>
        <w:pStyle w:val="000001"/>
        <w:pBdr/>
        <w:ind/>
        <w:rPr>
          <w:rFonts w:ascii="Open Sans" w:hAnsi="Open Sans" w:cs="Open Sans"/>
          <w:i w:val="false"/>
          <w:strike w:val="false"/>
          <w:color w:val="000000"/>
          <w:spacing w:val="0"/>
          <w:sz w:val="24"/>
          <w:u w:val="none"/>
        </w:rPr>
      </w:pPr>
      <w:r>
        <w:rPr>
          <w:rFonts w:ascii="Open Sans" w:hAnsi="Open Sans" w:cs="Open Sans"/>
          <w:i w:val="false"/>
          <w:strike w:val="false"/>
          <w:color w:val="000000"/>
          <w:spacing w:val="0"/>
          <w:sz w:val="24"/>
          <w:u w:val="none"/>
        </w:rPr>
        <w:t xml:space="preserve">Leveraging tools like Large Language Models (LLM)  has made ontology development more efficient and accurate. LLMs generate concise, context-rich definitions for ontology terms based on existing literature. This structured approach creates a clear relationship between traits, definitions, and relevant literature. For human experts, these tools provide comprehensive definitions and literature annotations, requiring only verification to ensure reliability, ultimately enhancing the accuracy and robustness of the ontology as a trustworthy resource for researchers. </w:t>
      </w:r>
    </w:p>
    <w:p>
      <w:pPr>
        <w:pStyle w:val="000001"/>
        <w:pBdr/>
        <w:ind/>
        <w:rPr>
          <w:rFonts w:ascii="Open Sans" w:hAnsi="Open Sans" w:cs="Open Sans"/>
          <w:i w:val="false"/>
          <w:strike w:val="false"/>
          <w:color w:val="000000"/>
          <w:spacing w:val="0"/>
          <w:sz w:val="24"/>
          <w:u w:val="none"/>
        </w:rPr>
      </w:pPr>
      <w:r>
        <w:rPr>
          <w:rFonts w:ascii="Open Sans" w:hAnsi="Open Sans" w:cs="Open Sans"/>
          <w:i w:val="false"/>
          <w:strike w:val="false"/>
          <w:color w:val="000000"/>
          <w:spacing w:val="0"/>
          <w:sz w:val="24"/>
          <w:u w:val="none"/>
        </w:rPr>
        <w:t>Integration with the LLM can be done through different ways like either through API or website. Most common and interested feature is lthrough API and currently many systems enchanced the system Through LLM .</w:t>
      </w:r>
    </w:p>
    <w:p>
      <w:pPr>
        <w:pStyle w:val="000001"/>
        <w:pBdr/>
        <w:ind/>
        <w:rPr>
          <w:rFonts w:ascii="Open Sans" w:hAnsi="Open Sans" w:cs="Open Sans"/>
          <w:i w:val="false"/>
          <w:strike w:val="false"/>
          <w:color w:val="000000"/>
          <w:spacing w:val="0"/>
          <w:sz w:val="24"/>
          <w:u w:val="none"/>
        </w:rPr>
      </w:pPr>
      <w:r>
        <w:rPr>
          <w:rFonts w:ascii="Open Sans" w:hAnsi="Open Sans" w:cs="Open Sans"/>
          <w:i w:val="false"/>
          <w:strike w:val="false"/>
          <w:color w:val="000000"/>
          <w:spacing w:val="0"/>
          <w:sz w:val="24"/>
          <w:u w:val="none"/>
        </w:rPr>
        <w:fldChar w:fldCharType="begin"/>
      </w:r>
      <w:r>
        <w:rPr>
          <w:rFonts w:ascii="Open Sans" w:hAnsi="Open Sans" w:cs="Open Sans"/>
          <w:i w:val="false"/>
          <w:strike w:val="false"/>
          <w:color w:val="000000"/>
          <w:spacing w:val="0"/>
          <w:sz w:val="24"/>
          <w:u w:val="none"/>
        </w:rPr>
        <w:instrText>HYPERLINK https://github.com/deepseek-ai/awesome-deepseek-integration/blob/main/README.md normalLink \tdfe -10 \tdlt text \tdsub normalLink \tdkey tjbd7y</w:instrText>
      </w:r>
      <w:r>
        <w:rPr>
          <w:rFonts w:ascii="Open Sans" w:hAnsi="Open Sans" w:cs="Open Sans"/>
          <w:i w:val="false"/>
          <w:strike w:val="false"/>
          <w:color w:val="000000"/>
          <w:spacing w:val="0"/>
          <w:sz w:val="24"/>
          <w:u w:val="none"/>
        </w:rPr>
        <w:fldChar w:fldCharType="separate"/>
      </w:r>
      <w:r>
        <w:rPr>
          <w:rStyle w:val="000016"/>
          <w:rFonts w:ascii="Open Sans" w:hAnsi="Open Sans" w:cs="Open Sans"/>
          <w:i w:val="false"/>
          <w:strike w:val="false"/>
          <w:spacing w:val="0"/>
          <w:sz w:val="24"/>
        </w:rPr>
        <w:t>Deepseek tools</w:t>
      </w:r>
      <w:r>
        <w:rPr>
          <w:rFonts w:ascii="Open Sans" w:hAnsi="Open Sans" w:cs="Open Sans"/>
          <w:i w:val="false"/>
          <w:strike w:val="false"/>
          <w:color w:val="000000"/>
          <w:spacing w:val="0"/>
          <w:sz w:val="24"/>
          <w:u w:val="none"/>
        </w:rPr>
        <w:fldChar w:fldCharType="end"/>
      </w:r>
    </w:p>
    <w:p>
      <w:pPr>
        <w:pStyle w:val="000001"/>
        <w:pBdr/>
        <w:ind/>
        <w:rPr>
          <w:rFonts w:ascii="Open Sans" w:hAnsi="Open Sans" w:cs="Open Sans"/>
          <w:i w:val="false"/>
          <w:strike w:val="false"/>
          <w:color w:val="000000"/>
          <w:spacing w:val="0"/>
          <w:sz w:val="24"/>
          <w:u w:val="none"/>
        </w:rPr>
      </w:pPr>
    </w:p>
    <w:p>
      <w:pPr>
        <w:pStyle w:val="000001"/>
        <w:pBdr/>
        <w:ind/>
        <w:rPr>
          <w:rFonts w:ascii="Open Sans" w:hAnsi="Open Sans" w:cs="Open Sans"/>
          <w:i w:val="false"/>
          <w:strike w:val="false"/>
          <w:color w:val="000000"/>
          <w:spacing w:val="0"/>
          <w:sz w:val="24"/>
          <w:u w:val="none"/>
        </w:rPr>
      </w:pPr>
      <w:r>
        <w:rPr>
          <w:rFonts w:ascii="Open Sans" w:hAnsi="Open Sans" w:cs="Open Sans"/>
          <w:i w:val="false"/>
          <w:strike w:val="false"/>
          <w:color w:val="000000"/>
          <w:spacing w:val="0"/>
          <w:sz w:val="24"/>
          <w:u w:val="none"/>
        </w:rPr>
        <w:drawing>
          <wp:inline distT="0" distB="0" distL="0" distR="0">
            <wp:extent cx="5278120" cy="1080521"/>
            <wp:effectExtent l="0" t="0" r="0" b="0"/>
            <wp:docPr id="32" name="picture" descr="descript"/>
            <wp:cNvGraphicFramePr/>
            <a:graphic>
              <a:graphicData uri="http://schemas.openxmlformats.org/drawingml/2006/picture">
                <pic:pic>
                  <pic:nvPicPr>
                    <pic:cNvPr id="33" name="picture" descr="descript"/>
                    <pic:cNvPicPr/>
                  </pic:nvPicPr>
                  <pic:blipFill rotWithShape="true">
                    <a:blip r:embed="rId15"/>
                    <a:stretch/>
                  </pic:blipFill>
                  <pic:spPr>
                    <a:xfrm>
                      <a:off x="0" y="0"/>
                      <a:ext cx="5278120" cy="1080521"/>
                    </a:xfrm>
                    <a:prstGeom prst="rect">
                      <a:avLst/>
                    </a:prstGeom>
                  </pic:spPr>
                </pic:pic>
              </a:graphicData>
            </a:graphic>
          </wp:inline>
        </w:drawing>
      </w:r>
    </w:p>
    <w:p>
      <w:pPr>
        <w:pStyle w:val="000001"/>
        <w:pBdr>
          <w:bottom/>
        </w:pBdr>
        <w:ind/>
        <w:rPr/>
      </w:pPr>
    </w:p>
    <w:p>
      <w:pPr>
        <w:pBdr/>
        <w:ind/>
        <w:rPr>
          <w:color w:val="000000"/>
        </w:rPr>
      </w:pPr>
    </w:p>
    <w:p>
      <w:pPr>
        <w:pStyle w:val="000003"/>
        <w:numPr>
          <w:ilvl w:val="0"/>
          <w:numId w:val="1"/>
        </w:numPr>
        <w:rPr>
          <w:color w:val="000000"/>
        </w:rPr>
      </w:pPr>
      <w:r>
        <w:rPr>
          <w:color w:val="000000"/>
        </w:rPr>
        <w:t>Reference</w:t>
      </w:r>
    </w:p>
    <w:p>
      <w:pPr>
        <w:pStyle w:val="000001"/>
        <w:numPr>
          <w:ilvl w:val="0"/>
          <w:numId w:val="3"/>
        </w:numPr>
        <w:pBdr/>
        <w:ind/>
        <w:rPr>
          <w:strike w:val="false"/>
          <w:color w:val="000000"/>
          <w:sz w:val="20"/>
        </w:rPr>
      </w:pPr>
      <w:r>
        <w:rPr>
          <w:rStyle w:val="000016"/>
          <w:strike w:val="false"/>
          <w:color w:val="000000"/>
          <w:sz w:val="20"/>
        </w:rPr>
        <w:fldChar w:fldCharType="begin"/>
      </w:r>
      <w:r>
        <w:rPr>
          <w:rStyle w:val="000016"/>
          <w:strike w:val="false"/>
          <w:color w:val="000000"/>
          <w:sz w:val="20"/>
        </w:rPr>
        <w:instrText xml:space="preserve">HYPERLINK https://arxiv.org/pdf/2403.12173 normalLink \tdkey 8wt1cs \tdfe -10 \tdfn https%3A//arxiv.org/pdf/2403.12173 \tdfu https://arxiv.org/pdf/2403.12173 \tdlt inline </w:instrText>
      </w:r>
      <w:r>
        <w:rPr>
          <w:rStyle w:val="000016"/>
          <w:strike w:val="false"/>
          <w:color w:val="000000"/>
          <w:sz w:val="20"/>
        </w:rPr>
        <w:fldChar w:fldCharType="separate"/>
      </w:r>
      <w:r>
        <w:rPr>
          <w:rStyle w:val="000016"/>
          <w:strike w:val="false"/>
          <w:color w:val="000000"/>
          <w:sz w:val="20"/>
        </w:rPr>
        <w:t>https://arxiv.org/pdf/2403.12173</w:t>
      </w:r>
      <w:r>
        <w:rPr>
          <w:rStyle w:val="000016"/>
          <w:strike w:val="false"/>
          <w:color w:val="000000"/>
          <w:sz w:val="20"/>
        </w:rPr>
        <w:fldChar w:fldCharType="end"/>
      </w:r>
    </w:p>
    <w:p>
      <w:pPr>
        <w:pStyle w:val="000001"/>
        <w:numPr>
          <w:ilvl w:val="0"/>
          <w:numId w:val="3"/>
        </w:numPr>
        <w:pBdr/>
        <w:ind/>
        <w:rPr>
          <w:strike w:val="false"/>
          <w:color w:val="000000"/>
          <w:sz w:val="20"/>
        </w:rPr>
      </w:pPr>
      <w:r>
        <w:rPr>
          <w:strike w:val="false"/>
          <w:color w:val="000000"/>
          <w:sz w:val="20"/>
        </w:rPr>
        <w:fldChar w:fldCharType="begin"/>
      </w:r>
      <w:r>
        <w:rPr>
          <w:strike w:val="false"/>
          <w:color w:val="000000"/>
          <w:sz w:val="20"/>
        </w:rPr>
        <w:instrText xml:space="preserve">HYPERLINK https://sia-ai.medium.com/revisiting-text-mining-using-llms-997886984c71 normalLink \tdkey 4q8icm \tdfe -10 \tdfn https%3A//sia-ai.medium.com/revisiting-text-mining-using-llms-997886984c71 \tdfu https://sia-ai.medium.com/revisiting-text-mining-using-llms-997886984c71 \tdlt inline </w:instrText>
      </w:r>
      <w:r>
        <w:rPr>
          <w:strike w:val="false"/>
          <w:color w:val="000000"/>
          <w:sz w:val="20"/>
        </w:rPr>
        <w:fldChar w:fldCharType="separate"/>
      </w:r>
      <w:r>
        <w:rPr>
          <w:rStyle w:val="000016"/>
          <w:strike w:val="false"/>
          <w:color w:val="000000"/>
          <w:sz w:val="20"/>
        </w:rPr>
        <w:t>https://sia-ai.medium.com/revisiting-text-mining-using-llms-997886984c71</w:t>
      </w:r>
      <w:r>
        <w:rPr>
          <w:strike w:val="false"/>
          <w:color w:val="000000"/>
          <w:sz w:val="20"/>
        </w:rPr>
        <w:fldChar w:fldCharType="end"/>
      </w:r>
    </w:p>
    <w:p>
      <w:pPr>
        <w:pStyle w:val="000001"/>
        <w:numPr>
          <w:ilvl w:val="0"/>
          <w:numId w:val="3"/>
        </w:numPr>
        <w:pBdr/>
        <w:ind/>
        <w:rPr>
          <w:strike w:val="false"/>
          <w:color w:val="000000"/>
          <w:sz w:val="20"/>
        </w:rPr>
      </w:pPr>
      <w:r>
        <w:rPr>
          <w:strike w:val="false"/>
          <w:color w:val="000000"/>
          <w:sz w:val="20"/>
        </w:rPr>
        <w:fldChar w:fldCharType="begin"/>
      </w:r>
      <w:r>
        <w:rPr>
          <w:strike w:val="false"/>
          <w:color w:val="000000"/>
          <w:sz w:val="20"/>
        </w:rPr>
        <w:instrText xml:space="preserve">HYPERLINK https://medium.com/@vaniukov.s/nlp-vs-llm-a-comprehensive-guide-to-understanding-key-differences-0358f6571910 normalLink \tdkey t7qfqf \tdfe -10 \tdfn https%3A//medium.com/@vaniukov.s/nlp-vs-llm-a-comprehensive-guide-to-understanding-key-differences-0358f6571910 \tdfu https://medium.com/@vaniukov.s/nlp-vs-llm-a-comprehensive-guide-to-understanding-key-differences-0358f6571910 \tdlt inline </w:instrText>
      </w:r>
      <w:r>
        <w:rPr>
          <w:strike w:val="false"/>
          <w:color w:val="000000"/>
          <w:sz w:val="20"/>
        </w:rPr>
        <w:fldChar w:fldCharType="separate"/>
      </w:r>
      <w:r>
        <w:rPr>
          <w:rStyle w:val="000016"/>
          <w:strike w:val="false"/>
          <w:color w:val="000000"/>
          <w:sz w:val="20"/>
        </w:rPr>
        <w:t>https://medium.com/@vaniukov.s/nlp-vs-llm-a-comprehensive-guide-to-understanding-key-differences-0358f6571910</w:t>
      </w:r>
      <w:r>
        <w:rPr>
          <w:strike w:val="false"/>
          <w:color w:val="000000"/>
          <w:sz w:val="20"/>
        </w:rPr>
        <w:fldChar w:fldCharType="end"/>
      </w:r>
    </w:p>
    <w:p>
      <w:pPr>
        <w:pStyle w:val="000001"/>
        <w:numPr>
          <w:ilvl w:val="0"/>
          <w:numId w:val="3"/>
        </w:numPr>
        <w:pBdr/>
        <w:ind/>
        <w:rPr>
          <w:strike w:val="false"/>
          <w:color w:val="000000"/>
          <w:sz w:val="20"/>
        </w:rPr>
      </w:pPr>
      <w:r>
        <w:rPr>
          <w:strike w:val="false"/>
          <w:color w:val="000000"/>
          <w:sz w:val="20"/>
        </w:rPr>
        <w:fldChar w:fldCharType="begin"/>
      </w:r>
      <w:r>
        <w:rPr>
          <w:strike w:val="false"/>
          <w:color w:val="000000"/>
          <w:sz w:val="20"/>
        </w:rPr>
        <w:instrText xml:space="preserve">HYPERLINK https://www.nature.com/articles/s43246-024-00708-9 normalLink \tdkey 7xeg4w \tdfe -10 \tdfn https%3A//www.nature.com/articles/s43246-024-00708-9 \tdfu https://www.nature.com/articles/s43246-024-00708-9 \tdlt inline </w:instrText>
      </w:r>
      <w:r>
        <w:rPr>
          <w:strike w:val="false"/>
          <w:color w:val="000000"/>
          <w:sz w:val="20"/>
        </w:rPr>
        <w:fldChar w:fldCharType="separate"/>
      </w:r>
      <w:r>
        <w:rPr>
          <w:rStyle w:val="000016"/>
          <w:strike w:val="false"/>
          <w:color w:val="000000"/>
          <w:sz w:val="20"/>
        </w:rPr>
        <w:t>https://www.nature.com/articles/s43246-024-00708-9</w:t>
      </w:r>
      <w:r>
        <w:rPr>
          <w:strike w:val="false"/>
          <w:color w:val="000000"/>
          <w:sz w:val="20"/>
        </w:rPr>
        <w:fldChar w:fldCharType="end"/>
      </w:r>
    </w:p>
    <w:p>
      <w:pPr>
        <w:pStyle w:val="000001"/>
        <w:numPr>
          <w:ilvl w:val="0"/>
          <w:numId w:val="3"/>
        </w:numPr>
        <w:pBdr/>
        <w:ind/>
        <w:rPr>
          <w:strike w:val="false"/>
          <w:color w:val="000000"/>
          <w:sz w:val="20"/>
        </w:rPr>
      </w:pPr>
      <w:r>
        <w:rPr>
          <w:rStyle w:val="000016"/>
          <w:color/>
        </w:rPr>
        <w:fldChar w:fldCharType="begin"/>
      </w:r>
      <w:r>
        <w:rPr>
          <w:rStyle w:val="000016"/>
          <w:color/>
        </w:rPr>
        <w:instrText>HYPERLINK https://www.researchgate.net/publication/385983852_An_Ontology-Based_Agriculture_Decision-Support_System_with_an_Evidence-Based_Explanation_Model normalLink \tdkey r0aewq \tdfe -10 \tdfn https%3A//www.researchgate.net/publication/385983852_An_Ontology-Based_Agriculture_Decision-Support_System_with_an_Evidence-Based_Explanation_Model \tdfu https://www.researchgate.net/publication/385983852_An_Ontology-Based_Agriculture_Decision-Support_System_with_an_Evidence-Based_Explanation_Model \tdlt inline \tdsub normalLink \tdindr 0</w:instrText>
      </w:r>
      <w:r>
        <w:rPr>
          <w:rStyle w:val="000016"/>
          <w:color/>
        </w:rPr>
        <w:fldChar w:fldCharType="separate"/>
      </w:r>
      <w:r>
        <w:rPr>
          <w:rStyle w:val="000016"/>
          <w:strike w:val="false"/>
          <w:color w:val="000000"/>
          <w:sz w:val="20"/>
        </w:rPr>
        <w:t>https://www.researchgate.net/publication/385983852_An_Ontology-Based_Agriculture_Decision-Support_System_with_an_Evidence-Based_Explanation_Model</w:t>
      </w:r>
      <w:r>
        <w:rPr>
          <w:rStyle w:val="000016"/>
          <w:color/>
        </w:rPr>
        <w:fldChar w:fldCharType="end"/>
      </w:r>
    </w:p>
    <w:p>
      <w:pPr>
        <w:pStyle w:val="000001"/>
        <w:numPr>
          <w:ilvl w:val="0"/>
          <w:numId w:val="3"/>
        </w:numPr>
        <w:pBdr/>
        <w:ind/>
        <w:rPr>
          <w:strike w:val="false"/>
          <w:color w:val="000000"/>
          <w:sz w:val="20"/>
        </w:rPr>
      </w:pPr>
      <w:r>
        <w:rPr>
          <w:rStyle w:val="000016"/>
          <w:color/>
        </w:rPr>
        <w:fldChar w:fldCharType="begin"/>
      </w:r>
      <w:r>
        <w:rPr>
          <w:rStyle w:val="000016"/>
          <w:color/>
        </w:rPr>
        <w:instrText xml:space="preserve">HYPERLINK https://sites.google.com/view/ont-interoperation-hzaubionlp normalLink \tdkey 1w78d5 \tdfe -10 \tdfn https%3A//sites.google.com/view/ont-interoperation-hzaubionlp \tdfu https://sites.google.com/view/ont-interoperation-hzaubionlp \tdlt inline </w:instrText>
      </w:r>
      <w:r>
        <w:rPr>
          <w:rStyle w:val="000016"/>
          <w:color/>
        </w:rPr>
        <w:fldChar w:fldCharType="separate"/>
      </w:r>
      <w:r>
        <w:rPr>
          <w:rStyle w:val="000016"/>
          <w:color/>
        </w:rPr>
        <w:t>https://sites.google.com/view/ont-interoperation-hzaubionlp</w:t>
      </w:r>
      <w:r>
        <w:rPr>
          <w:rStyle w:val="000016"/>
          <w:color/>
        </w:rPr>
        <w:fldChar w:fldCharType="end"/>
      </w:r>
    </w:p>
    <w:p>
      <w:pPr>
        <w:pStyle w:val="000001"/>
        <w:numPr>
          <w:ilvl w:val="0"/>
          <w:numId w:val="3"/>
        </w:numPr>
        <w:pBdr>
          <w:bottom/>
        </w:pBdr>
        <w:ind/>
        <w:rPr>
          <w:strike w:val="false"/>
          <w:color w:val="000000"/>
          <w:sz w:val="20"/>
        </w:rPr>
      </w:pPr>
      <w:r>
        <w:rPr>
          <w:rStyle w:val="000016"/>
          <w:color/>
        </w:rPr>
        <w:fldChar w:fldCharType="begin"/>
      </w:r>
      <w:r>
        <w:rPr>
          <w:rStyle w:val="000016"/>
          <w:color/>
        </w:rPr>
        <w:instrText xml:space="preserve">HYPERLINK https://www.sciencedirect.com/science/article/pii/S0168169917310268 normalLink \tdkey 3nh3kj \tdfe -10 \tdfn https%3A//www.sciencedirect.com/science/article/pii/S0168169917310268 \tdfu https://www.sciencedirect.com/science/article/pii/S0168169917310268 \tdlt inline </w:instrText>
      </w:r>
      <w:r>
        <w:rPr>
          <w:rStyle w:val="000016"/>
          <w:color/>
        </w:rPr>
        <w:fldChar w:fldCharType="separate"/>
      </w:r>
      <w:r>
        <w:rPr>
          <w:rStyle w:val="000016"/>
          <w:color/>
        </w:rPr>
        <w:t>https://www.sciencedirect.com/science/article/pii/S0168169917310268</w:t>
      </w:r>
      <w:r>
        <w:rPr>
          <w:rStyle w:val="000016"/>
          <w:color/>
        </w:rPr>
        <w:fldChar w:fldCharType="end"/>
      </w:r>
    </w:p>
    <w:p>
      <w:pPr>
        <w:rPr>
          <w:color w:val="000000"/>
        </w:rPr>
      </w:pPr>
    </w:p>
    <w:sectPr w:rsidR="009E7FC9">
      <w:pgSz w:w="11906" w:h="16838"/>
      <w:pgMar w:top="1440" w:right="1797" w:bottom="1440" w:left="1797" w:header="851" w:footer="992" w:gutter="0"/>
      <w:cols w:space="0"/>
      <w:docGrid w:type="lines" w:linePitch="387"/>
    </w:sectPr>
  </w:body>
</w:document>
</file>

<file path=word/fontTable.xml><?xml version="1.0" encoding="utf-8"?>
<w:fonts xmlns:w="http://schemas.openxmlformats.org/wordprocessingml/2006/main">
  <w:font w:name="Times New Roman">
    <w:panose1 w:val="02020603050405020304"/>
    <w:charset w:val="00" w:characterSet="ISO-8859-1"/>
    <w:family w:val="roman"/>
    <w:pitch w:val="variable"/>
    <w:sig w:usb0="20002A87" w:usb1="80000000" w:usb2="00000008" w:usb3="00000000" w:csb0="000001FF" w:csb1="00000000"/>
  </w:font>
  <w:font w:name="微软雅黑">
    <w:panose1 w:val="020B0503020204020204"/>
    <w:charset w:val="86" w:characterSet="ISO-8859-1"/>
    <w:family w:val="swiss"/>
    <w:pitch w:val="variable"/>
    <w:sig w:usb0="00000001" w:usb1="080E0000" w:usb2="00000016" w:usb3="00000000" w:csb0="0004001F" w:csb1="00000000"/>
  </w:font>
  <w:font w:name="Arial">
    <w:panose1 w:val="020B0604020202020204"/>
    <w:charset w:val="00" w:characterSet="ISO-8859-1"/>
    <w:family w:val="swiss"/>
    <w:pitch w:val="variable"/>
    <w:sig w:usb0="E0000AFF" w:usb1="00007843" w:usb2="00000001" w:usb3="00000000" w:csb0="000001BF" w:csb1="00000000"/>
  </w:font>
  <w:font w:name="Monaco">
    <w:altName w:val="Monaco"/>
    <w:panose1 w:val="00000000000000000000"/>
    <w:charset w:val="00" w:characterSet="ISO-8859-1"/>
    <w:family w:val="auto"/>
    <w:pitch w:val="variable"/>
    <w:sig w:usb0="A00002FF" w:usb1="500039FB" w:usb2="00000000" w:usb3="00000000" w:csb0="00000197" w:csb1="00000000"/>
  </w:font>
  <w:font w:name="Calibri Light">
    <w:panose1 w:val="020F0302020204030204"/>
    <w:charset w:val="00" w:characterSet="ISO-8859-1"/>
    <w:family w:val="swiss"/>
    <w:pitch w:val="variable"/>
    <w:sig w:usb0="A00002EF" w:usb1="4000207B" w:usb2="00000000" w:usb3="00000000" w:csb0="0000019F" w:csb1="00000000"/>
  </w:font>
  <w:font w:name="Calibri">
    <w:panose1 w:val="020F0502020204030204"/>
    <w:charset w:val="00" w:characterSet="ISO-8859-1"/>
    <w:family w:val="swiss"/>
    <w:pitch w:val="variable"/>
    <w:sig w:usb0="00000003" w:usb1="00000000" w:usb2="00000001" w:usb3="00000000" w:csb0="0000019F" w:csb1="00000000"/>
  </w:font>
</w:fonts>
</file>

<file path=word/numbering.xml><?xml version="1.0" encoding="utf-8"?>
<w:numbering xmlns:w="http://schemas.openxmlformats.org/wordprocessingml/2006/main">
  <w:abstractNum w:abstractNumId="1">
    <w:lvl w:ilvl="0">
      <w:start w:val="1"/>
      <w:numFmt w:val="decimal"/>
      <w:lvlText w:val="%1."/>
      <w:lvlJc w:val="left"/>
      <w:pPr>
        <w:tabs/>
        <w:ind w:left="0" w:hanging="0"/>
      </w:pPr>
      <w:rPr>
        <w:rFonts w:hint="default" w:ascii="" w:hAnsi="" w:cs=""/>
      </w:rPr>
    </w:lvl>
    <w:lvl w:ilvl="4">
      <w:start w:val="1"/>
      <w:numFmt w:val="decimal"/>
      <w:lvlText w:val="%1.%2.%3.%4.%5."/>
      <w:lvlJc w:val="left"/>
      <w:pPr>
        <w:ind w:left="0" w:hanging="0"/>
      </w:pPr>
      <w:rPr>
        <w:rFonts w:hint="default" w:ascii="" w:hAnsi="" w:cs=""/>
      </w:rPr>
    </w:lvl>
    <w:lvl w:ilvl="5">
      <w:start w:val="1"/>
      <w:numFmt w:val="decimal"/>
      <w:lvlText w:val="%1.%2.%3.%4.%5.%6."/>
      <w:lvlJc w:val="left"/>
      <w:pPr>
        <w:ind w:left="0" w:hanging="0"/>
      </w:pPr>
      <w:rPr>
        <w:rFonts w:hint="default" w:ascii="" w:hAnsi="" w:cs=""/>
      </w:rPr>
    </w:lvl>
    <w:lvl w:ilvl="3">
      <w:start w:val="1"/>
      <w:numFmt w:val="decimal"/>
      <w:lvlText w:val="%1.%2.%3.%4."/>
      <w:lvlJc w:val="left"/>
      <w:pPr>
        <w:tabs/>
        <w:ind w:left="0" w:hanging="0"/>
      </w:pPr>
      <w:rPr>
        <w:rFonts w:hint="default" w:ascii="" w:hAnsi="" w:cs=""/>
      </w:rPr>
    </w:lvl>
    <w:lvl w:ilvl="6">
      <w:start w:val="1"/>
      <w:numFmt w:val="decimal"/>
      <w:lvlText w:val="%1.%2.%3.%4.%5.%6.%7."/>
      <w:lvlJc w:val="left"/>
      <w:pPr>
        <w:ind w:left="0" w:hanging="0"/>
      </w:pPr>
      <w:rPr>
        <w:rFonts w:hint="default" w:ascii="" w:hAnsi="" w:cs=""/>
      </w:rPr>
    </w:lvl>
    <w:lvl w:ilvl="2">
      <w:start w:val="1"/>
      <w:numFmt w:val="decimal"/>
      <w:lvlText w:val="%1.%2.%3."/>
      <w:lvlJc w:val="left"/>
      <w:pPr>
        <w:tabs/>
        <w:ind w:left="0" w:hanging="0"/>
      </w:pPr>
      <w:rPr>
        <w:rFonts w:hint="default" w:ascii="" w:hAnsi="" w:cs=""/>
      </w:rPr>
    </w:lvl>
    <w:lvl w:ilvl="1">
      <w:start w:val="1"/>
      <w:numFmt w:val="decimal"/>
      <w:lvlText w:val="%1.%2."/>
      <w:lvlJc w:val="left"/>
      <w:pPr>
        <w:tabs/>
        <w:ind w:left="0" w:hanging="0"/>
      </w:pPr>
      <w:rPr>
        <w:rFonts w:hint="default" w:ascii="" w:hAnsi="" w:cs=""/>
      </w:rPr>
    </w:lvl>
    <w:lvl w:ilvl="7">
      <w:start w:val="1"/>
      <w:numFmt w:val="decimal"/>
      <w:lvlText w:val="%1.%2.%3.%4.%5.%6.%7.%8."/>
      <w:lvlJc w:val="left"/>
      <w:pPr>
        <w:ind w:left="0" w:hanging="0"/>
      </w:pPr>
      <w:rPr>
        <w:rFonts w:hint="default" w:ascii="" w:hAnsi="" w:cs=""/>
      </w:rPr>
    </w:lvl>
    <w:lvl w:ilvl="8">
      <w:start w:val="1"/>
      <w:numFmt w:val="decimal"/>
      <w:lvlText w:val="%1.%2.%3.%4.%5.%6.%7.%8.%9."/>
      <w:lvlJc w:val="left"/>
      <w:pPr>
        <w:ind w:left="0" w:hanging="0"/>
      </w:pPr>
      <w:rPr>
        <w:rFonts w:hint="default" w:ascii="" w:hAnsi="" w:cs=""/>
      </w:rPr>
    </w:lvl>
  </w:abstractNum>
  <w:abstractNum w:abstractNumId="2">
    <w:lvl w:ilvl="0">
      <w:start w:val="1"/>
      <w:numFmt w:val="bullet"/>
      <w:lvlText w:val=""/>
      <w:lvlJc w:val="left"/>
      <w:pPr>
        <w:tabs/>
        <w:ind w:left="336" w:hanging="336"/>
      </w:pPr>
      <w:rPr>
        <w:rFonts w:hint="default" w:ascii="wingdings" w:hAnsi="wingdings" w:cs="wingdings"/>
        <w:u/>
      </w:rPr>
    </w:lvl>
    <w:lvl w:ilvl="4">
      <w:start w:val="1"/>
      <w:numFmt w:val="bullet"/>
      <w:lvlText w:val="¡"/>
      <w:pPr>
        <w:ind w:left="2096" w:hanging="336"/>
      </w:pPr>
      <w:rPr>
        <w:rFonts w:hint="default" w:ascii="wingdings" w:hAnsi="wingdings" w:cs="wingdings"/>
      </w:rPr>
    </w:lvl>
    <w:lvl w:ilvl="2">
      <w:start w:val="1"/>
      <w:numFmt w:val="bullet"/>
      <w:lvlText w:val=""/>
      <w:lvlJc w:val="left"/>
      <w:pPr>
        <w:ind w:left="1216" w:hanging="336"/>
      </w:pPr>
      <w:rPr>
        <w:rFonts w:hint="default" w:ascii="wingdings" w:hAnsi="wingdings" w:cs="wingdings"/>
      </w:rPr>
    </w:lvl>
    <w:lvl w:ilvl="3">
      <w:start w:val="1"/>
      <w:numFmt w:val="bullet"/>
      <w:lvlText w:val=""/>
      <w:pPr>
        <w:ind w:left="1656" w:hanging="336"/>
      </w:pPr>
      <w:rPr>
        <w:rFonts w:hint="default" w:ascii="wingdings" w:hAnsi="wingdings" w:cs="wingdings"/>
      </w:rPr>
    </w:lvl>
    <w:lvl w:ilvl="8">
      <w:start w:val="1"/>
      <w:numFmt w:val="bullet"/>
      <w:lvlText w:val=""/>
      <w:pPr>
        <w:ind w:left="3856" w:hanging="336"/>
      </w:pPr>
      <w:rPr>
        <w:rFonts w:hint="default" w:ascii="wingdings" w:hAnsi="wingdings" w:cs="wingdings"/>
      </w:rPr>
    </w:lvl>
    <w:lvl w:ilvl="5">
      <w:start w:val="1"/>
      <w:numFmt w:val="bullet"/>
      <w:lvlText w:val=""/>
      <w:pPr>
        <w:ind w:left="2536" w:hanging="336"/>
      </w:pPr>
      <w:rPr>
        <w:rFonts w:hint="default" w:ascii="wingdings" w:hAnsi="wingdings" w:cs="wingdings"/>
      </w:rPr>
    </w:lvl>
    <w:lvl w:ilvl="1">
      <w:start w:val="1"/>
      <w:numFmt w:val="bullet"/>
      <w:lvlText w:val="¡"/>
      <w:lvlJc w:val="left"/>
      <w:pPr>
        <w:ind w:left="776" w:hanging="336"/>
      </w:pPr>
      <w:rPr>
        <w:rFonts w:hint="default" w:ascii="wingdings" w:hAnsi="wingdings" w:cs="wingdings"/>
      </w:rPr>
    </w:lvl>
    <w:lvl w:ilvl="7">
      <w:start w:val="1"/>
      <w:numFmt w:val="bullet"/>
      <w:lvlText w:val="¡"/>
      <w:pPr>
        <w:ind w:left="3416" w:hanging="336"/>
      </w:pPr>
      <w:rPr>
        <w:rFonts w:hint="default" w:ascii="wingdings" w:hAnsi="wingdings" w:cs="wingdings"/>
      </w:rPr>
    </w:lvl>
    <w:lvl w:ilvl="6">
      <w:start w:val="1"/>
      <w:numFmt w:val="bullet"/>
      <w:lvlText w:val=""/>
      <w:pPr>
        <w:ind w:left="2976" w:hanging="336"/>
      </w:pPr>
      <w:rPr>
        <w:rFonts w:hint="default" w:ascii="wingdings" w:hAnsi="wingdings" w:cs="wingdings"/>
      </w:rPr>
    </w:lvl>
  </w:abstractNum>
  <w:abstractNum w:abstractNumId="3">
    <w:lvl w:ilvl="5">
      <w:start w:val="1"/>
      <w:numFmt w:val="lowerRoman"/>
      <w:lvlText w:val="%6."/>
      <w:lvlJc w:val="left"/>
      <w:pPr>
        <w:ind w:left="2536" w:hanging="336"/>
      </w:pPr>
    </w:lvl>
    <w:lvl w:ilvl="0">
      <w:start w:val="9"/>
      <w:numFmt w:val="decimal"/>
      <w:lvlText w:val="%1."/>
      <w:lvlJc w:val="left"/>
      <w:pPr>
        <w:ind w:left="336" w:hanging="336"/>
      </w:pPr>
      <w:rPr/>
    </w:lvl>
    <w:lvl w:ilvl="3">
      <w:start w:val="1"/>
      <w:numFmt w:val="decimal"/>
      <w:lvlText w:val="%4."/>
      <w:lvlJc w:val="left"/>
      <w:pPr>
        <w:ind w:left="1656" w:hanging="336"/>
      </w:pPr>
    </w:lvl>
    <w:lvl w:ilvl="2">
      <w:start w:val="1"/>
      <w:numFmt w:val="lowerRoman"/>
      <w:lvlText w:val="%3."/>
      <w:lvlJc w:val="left"/>
      <w:pPr>
        <w:ind w:left="1216" w:hanging="336"/>
      </w:pPr>
    </w:lvl>
    <w:lvl w:ilvl="6">
      <w:start w:val="1"/>
      <w:numFmt w:val="decimal"/>
      <w:lvlText w:val="%7."/>
      <w:lvlJc w:val="left"/>
      <w:pPr>
        <w:ind w:left="2976" w:hanging="336"/>
      </w:pPr>
    </w:lvl>
    <w:lvl w:ilvl="8">
      <w:start w:val="1"/>
      <w:numFmt w:val="lowerRoman"/>
      <w:lvlText w:val="%9."/>
      <w:lvlJc w:val="left"/>
      <w:pPr>
        <w:ind w:left="3856" w:hanging="336"/>
      </w:pPr>
    </w:lvl>
    <w:lvl w:ilvl="1">
      <w:start w:val="1"/>
      <w:numFmt w:val="lowerLetter"/>
      <w:lvlText w:val="%2."/>
      <w:lvlJc w:val="left"/>
      <w:pPr>
        <w:ind w:left="776" w:hanging="336"/>
      </w:pPr>
    </w:lvl>
    <w:lvl w:ilvl="7">
      <w:start w:val="1"/>
      <w:numFmt w:val="lowerLetter"/>
      <w:lvlText w:val="%8."/>
      <w:lvlJc w:val="left"/>
      <w:pPr>
        <w:ind w:left="3416" w:hanging="336"/>
      </w:pPr>
    </w:lvl>
    <w:lvl w:ilvl="4">
      <w:start w:val="1"/>
      <w:numFmt w:val="lowerLetter"/>
      <w:lvlText w:val="%5."/>
      <w:lvlJc w:val="left"/>
      <w:pPr>
        <w:ind w:left="2096" w:hanging="336"/>
      </w:pPr>
    </w:lvl>
  </w:abstractNum>
  <w:num w:numId="3">
    <w:abstractNumId w:val="2"/>
  </w:num>
  <w:num w:numId="2">
    <w:abstractNumId w:val="3"/>
  </w:num>
  <w:num w:numId="1">
    <w:abstractNumId w:val="1"/>
  </w:num>
</w:numbering>
</file>

<file path=word/settings.xml><?xml version="1.0" encoding="utf-8"?>
<w:settings xmlns:w="http://schemas.openxmlformats.org/wordprocessingml/2006/main">
  <w:zoom w:percent="280"/>
  <w:embedSystemFonts/>
  <w:bordersDoNotSurroundHeader/>
  <w:bordersDoNotSurroundFooter/>
  <w:proofState w:spelling="clean" w:grammar="clean"/>
  <w:defaultTabStop w:val="420"/>
  <w:drawingGridHorizontalSpacing w:val="220"/>
  <w:drawingGridVerticalSpacing w:val="387"/>
  <w:displayHorizontalDrawingGridEvery w:val="0"/>
  <w:characterSpacingControl w:val="compressPunctuation"/>
  <w:compat>
    <w:spaceForUL/>
    <w:balanceSingleByteDoubleByteWidth/>
    <w:doNotLeaveBackslashAlone/>
    <w:ulTrailSpace/>
    <w:doNotExpandShiftReturn/>
    <w:adjustLineHeightInTable/>
    <w:useFELayout/>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Setting w:name="overrideTableStyleFontSizeAndJustification" w:uri="http://schemas.microsoft.com/office/word" w:val="1"/>
    <w:compatSetting w:name="enableOpenTypeFeatures" w:uri="http://schemas.microsoft.com/office/word" w:val="1"/>
    <w:compatSetting w:name="compatibilityMode" w:uri="http://schemas.microsoft.com/office/word" w:val="15"/>
  </w:compat>
  <w:rsids>
    <w:rsidRoot w:val="1AA24D9F"/>
    <w:rsid w:val="D5DE8897"/>
    <w:rsid w:val="E7FE3684"/>
    <w:rsid w:val="E95E2A0D"/>
    <w:rsid w:val="EFFF70E4"/>
    <w:rsid w:val="F7EEC240"/>
    <w:rsid w:val="FBF75102"/>
    <w:rsid w:val="FDDC5620"/>
    <w:rsid w:val="FDEA700A"/>
    <w:rsid w:val="FFBFCE42"/>
    <w:rsid w:val="FFFF40C2"/>
    <w:rsid w:val="000B62CA"/>
    <w:rsid w:val="002A53AA"/>
    <w:rsid w:val="005C35DE"/>
    <w:rsid w:val="00626AA2"/>
    <w:rsid w:val="0068574D"/>
    <w:rsid w:val="006E696F"/>
    <w:rsid w:val="0071681D"/>
    <w:rsid w:val="007C7A70"/>
    <w:rsid w:val="00890FE1"/>
    <w:rsid w:val="0090731C"/>
    <w:rsid w:val="009E7FC9"/>
    <w:rsid w:val="00A85D95"/>
    <w:rsid w:val="00AB1D25"/>
    <w:rsid w:val="00AD3D80"/>
    <w:rsid w:val="00B727BA"/>
    <w:rsid w:val="00BE0D57"/>
    <w:rsid w:val="00F50C8B"/>
    <w:rsid w:val="07011CC2"/>
    <w:rsid w:val="07644792"/>
    <w:rsid w:val="09284798"/>
    <w:rsid w:val="0F2B6FD9"/>
    <w:rsid w:val="183C240D"/>
    <w:rsid w:val="1AA24D9F"/>
    <w:rsid w:val="27FBD2E2"/>
    <w:rsid w:val="28DA2E89"/>
    <w:rsid w:val="2A4254F9"/>
    <w:rsid w:val="2D1F32F4"/>
    <w:rsid w:val="323B4D81"/>
    <w:rsid w:val="34B70380"/>
    <w:rsid w:val="3AE174A3"/>
    <w:rsid w:val="43446334"/>
    <w:rsid w:val="44A84E71"/>
    <w:rsid w:val="477DCE1E"/>
    <w:rsid w:val="573E1E21"/>
    <w:rsid w:val="5B487E91"/>
    <w:rsid w:val="5CF9550F"/>
    <w:rsid w:val="5EFEBDE8"/>
    <w:rsid w:val="68CA2609"/>
    <w:rsid w:val="68CC1AED"/>
    <w:rsid w:val="69BB0F42"/>
    <w:rsid w:val="6A637494"/>
    <w:rsid w:val="6BCF62E6"/>
    <w:rsid w:val="6CD3A16D"/>
    <w:rsid w:val="6D535020"/>
    <w:rsid w:val="6E5F49A6"/>
    <w:rsid w:val="6FFF37D2"/>
    <w:rsid w:val="70DE2EF1"/>
    <w:rsid w:val="7C5F4108"/>
    <w:rsid w:val="7F79C282"/>
    <w:rsid w:val="7F7B6CAE"/>
    <w:rsid w:val="7FBF6DD0"/>
    <w:rsid w:val="7FCD17FE"/>
    <w:rsid w:val="7FD7E9A0"/>
    <w:rsid w:val="7FE9FBB2"/>
    <w:rsid w:val="8FFFA67E"/>
    <w:rsid w:val="A97F623E"/>
    <w:rsid w:val="AFBF8780"/>
    <w:rsid w:val="BEEFCB4B"/>
    <w:rsid w:val="BFE6F841"/>
    <w:rsid w:val="BFFBDBCA"/>
  </w:rsids>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decimalSymbol w:val="."/>
  <w:listSeparator w:val=","/>
</w:settings>
</file>

<file path=word/styles.xml><?xml version="1.0" encoding="utf-8"?>
<w:styles xmlns:w="http://schemas.openxmlformats.org/wordprocessingml/2006/main">
  <w:docDefaults>
    <w:rPrDefault>
      <w:rPr>
        <w:rFonts w:ascii="Arial" w:hAnsi="Arial" w:eastAsia="微软雅黑" w:cs="Arial"/>
        <w:lang w:val="en-US" w:eastAsia="zh-CN" w:bidi="ar-SA"/>
      </w:rPr>
    </w:rPrDefault>
    <w:pPrDefault>
      <w:pPr/>
    </w:pPrDefault>
  </w:docDefaults>
  <w:latentStyles w:defLockedState="false" w:defUIPriority="0" w:defSemiHidden="false" w:defUnhideWhenUsed="false" w:defQFormat="false" w:count="376">
    <w:lsdException w:name="List Table 3 Accent 1" w:uiPriority="48"/>
    <w:lsdException w:name="Medium List 1" w:uiPriority="65"/>
    <w:lsdException w:name="Colorful Shading Accent 3" w:uiPriority="71"/>
    <w:lsdException w:name="Medium List 1 Accent 1" w:uiPriority="65"/>
    <w:lsdException w:name="Medium Grid 1 Accent 1" w:uiPriority="67"/>
    <w:lsdException w:name="Grid Table 3 Accent 5" w:uiPriority="48"/>
    <w:lsdException w:name="Outline List 1" w:uiPriority="99" w:semiHidden="true" w:unhideWhenUsed="true"/>
    <w:lsdException w:name="Medium Shading 2" w:uiPriority="64"/>
    <w:lsdException w:name="Dark List Accent 2" w:uiPriority="70"/>
    <w:lsdException w:name="Medium Grid 1 Accent 6" w:uiPriority="67"/>
    <w:lsdException w:name="HTML Bottom of Form" w:uiPriority="99" w:semiHidden="true" w:unhideWhenUsed="true"/>
    <w:lsdException w:name="HTML Definition" w:uiPriority="99"/>
    <w:lsdException w:name="Dark List Accent 4" w:uiPriority="70"/>
    <w:lsdException w:name="Medium List 1 Accent 3" w:uiPriority="65"/>
    <w:lsdException w:name="Medium Grid 3 Accent 1" w:uiPriority="69"/>
    <w:lsdException w:name="Grid Table 2" w:uiPriority="47"/>
    <w:lsdException w:name="List Table 7 Colorful" w:uiPriority="52"/>
    <w:lsdException w:name="Table Web 3" w:semiHidden="true" w:unhideWhenUsed="true"/>
    <w:lsdException w:name="Grid Table 4 Accent 6" w:uiPriority="49"/>
    <w:lsdException w:name="Table Columns 4" w:semiHidden="true" w:unhideWhenUsed="true"/>
    <w:lsdException w:name="Grid Table 7 Colorful Accent 6" w:uiPriority="52"/>
    <w:lsdException w:name="List Table 1 Light Accent 1" w:uiPriority="46"/>
    <w:lsdException w:name="Grid Table 3 Accent 1" w:uiPriority="48"/>
    <w:lsdException w:name="Table Columns 1" w:semiHidden="true" w:unhideWhenUsed="true"/>
    <w:lsdException w:name="Grid Table 3 Accent 4" w:uiPriority="48"/>
    <w:lsdException w:name="Table Colorful 2" w:semiHidden="true" w:unhideWhenUsed="true"/>
    <w:lsdException w:name="Table 3D effects 1" w:semiHidden="true" w:unhideWhenUsed="true"/>
    <w:lsdException w:name="Medium Shading 2 Accent 1" w:uiPriority="64"/>
    <w:lsdException w:name="Grid Table 2 Accent 1" w:uiPriority="47"/>
    <w:lsdException w:name="Colorful List Accent 4" w:uiPriority="72"/>
    <w:lsdException w:name="Table Columns 5" w:semiHidden="true" w:unhideWhenUsed="true"/>
    <w:lsdException w:name="List Table 5 Dark Accent 6" w:uiPriority="50"/>
    <w:lsdException w:name="List Table 1 Light Accent 4" w:uiPriority="46"/>
    <w:lsdException w:name="Outline List 3" w:uiPriority="99" w:semiHidden="true" w:unhideWhenUsed="true"/>
    <w:lsdException w:name="Table Subtle 1" w:semiHidden="true" w:unhideWhenUsed="true"/>
    <w:lsdException w:name="List Table 3 Accent 5" w:uiPriority="48"/>
    <w:lsdException w:name="List Table 3" w:uiPriority="48"/>
    <w:lsdException w:name="Table Columns 3" w:semiHidden="true" w:unhideWhenUsed="true"/>
    <w:lsdException w:name="Grid Table 4" w:uiPriority="49"/>
    <w:lsdException w:name="Light Shading Accent 5" w:uiPriority="60"/>
    <w:lsdException w:name="Light Shading Accent 2" w:uiPriority="60"/>
    <w:lsdException w:name="Grid Table 5 Dark Accent 6" w:uiPriority="50"/>
    <w:lsdException w:name="toc 6" w:uiPriority="99"/>
    <w:lsdException w:name="heading 4" w:qFormat="true"/>
    <w:lsdException w:name="Smart Link" w:uiPriority="99" w:semiHidden="true" w:unhideWhenUsed="true"/>
    <w:lsdException w:name="Medium Shading 1 Accent 5" w:uiPriority="63"/>
    <w:lsdException w:name="Colorful Grid Accent 1" w:uiPriority="73"/>
    <w:lsdException w:name="Grid Table 2 Accent 6" w:uiPriority="47"/>
    <w:lsdException w:name="Placeholder Text" w:uiPriority="99" w:semiHidden="true"/>
    <w:lsdException w:name="Table Classic 3" w:semiHidden="true" w:unhideWhenUsed="true"/>
    <w:lsdException w:name="Colorful List Accent 3" w:uiPriority="72"/>
    <w:lsdException w:name="Medium List 1 Accent 5" w:uiPriority="65"/>
    <w:lsdException w:name="Medium Shading 2 Accent 3" w:uiPriority="64"/>
    <w:lsdException w:name="List Table 5 Dark Accent 3" w:uiPriority="50"/>
    <w:lsdException w:name="List Table 2 Accent 3" w:uiPriority="47"/>
    <w:lsdException w:name="List Table 7 Colorful Accent 5" w:uiPriority="52"/>
    <w:lsdException w:name="Light Grid Accent 1" w:uiPriority="62"/>
    <w:lsdException w:name="Table List 2" w:semiHidden="true" w:unhideWhenUsed="true"/>
    <w:lsdException w:name="Quote" w:uiPriority="99"/>
    <w:lsdException w:name="Medium Grid 2 Accent 2" w:uiPriority="68"/>
    <w:lsdException w:name="Table List 5" w:semiHidden="true" w:unhideWhenUsed="true"/>
    <w:lsdException w:name="List Table 2" w:uiPriority="47"/>
    <w:lsdException w:name="heading 1" w:qFormat="true"/>
    <w:lsdException w:name="Grid Table 4 Accent 3" w:uiPriority="49"/>
    <w:lsdException w:name="Mention" w:uiPriority="99" w:semiHidden="true" w:unhideWhenUsed="true"/>
    <w:lsdException w:name="Table Columns 2" w:semiHidden="true" w:unhideWhenUsed="true"/>
    <w:lsdException w:name="Table Professional" w:semiHidden="true" w:unhideWhenUsed="true"/>
    <w:lsdException w:name="Grid Table 6 Colorful Accent 5" w:uiPriority="51"/>
    <w:lsdException w:name="Table Grid" w:qFormat="true"/>
    <w:lsdException w:name="Medium List 1 Accent 2" w:uiPriority="65"/>
    <w:lsdException w:name="Light List Accent 2" w:uiPriority="61"/>
    <w:lsdException w:name="Light Shading Accent 3" w:uiPriority="60"/>
    <w:lsdException w:name="Medium Grid 3" w:uiPriority="69"/>
    <w:lsdException w:name="Dark List" w:uiPriority="70"/>
    <w:lsdException w:name="toc 5" w:uiPriority="99"/>
    <w:lsdException w:name="Medium Grid 1 Accent 5" w:uiPriority="67"/>
    <w:lsdException w:name="Colorful List Accent 2" w:uiPriority="72"/>
    <w:lsdException w:name="Grid Table 1 Light Accent 5" w:uiPriority="46"/>
    <w:lsdException w:name="HTML Preformatted" w:uiPriority="99"/>
    <w:lsdException w:name="List Table 1 Light" w:uiPriority="46"/>
    <w:lsdException w:name="Table Classic 4" w:semiHidden="true" w:unhideWhenUsed="true"/>
    <w:lsdException w:name="Grid Table 5 Dark" w:uiPriority="50"/>
    <w:lsdException w:name="toc 8" w:uiPriority="99"/>
    <w:lsdException w:name="Intense Reference" w:uiPriority="32" w:qFormat="true"/>
    <w:lsdException w:name="Revision" w:uiPriority="99" w:semiHidden="true"/>
    <w:lsdException w:name="Default Paragraph Font" w:uiPriority="1" w:semiHidden="true" w:unhideWhenUsed="true"/>
    <w:lsdException w:name="Light List Accent 4" w:uiPriority="61"/>
    <w:lsdException w:name="Grid Table 1 Light" w:uiPriority="46"/>
    <w:lsdException w:name="Colorful Grid" w:uiPriority="73"/>
    <w:lsdException w:name="Grid Table 6 Colorful Accent 2" w:uiPriority="51"/>
    <w:lsdException w:name="caption" w:semiHidden="true" w:unhideWhenUsed="true" w:qFormat="true"/>
    <w:lsdException w:name="Colorful List Accent 1" w:uiPriority="72"/>
    <w:lsdException w:name="Grid Table 2 Accent 2" w:uiPriority="47"/>
    <w:lsdException w:name="Medium Shading 2 Accent 2" w:uiPriority="64"/>
    <w:lsdException w:name="Table 3D effects 3" w:semiHidden="true" w:unhideWhenUsed="true"/>
    <w:lsdException w:name="Grid Table 3 Accent 2" w:uiPriority="48"/>
    <w:lsdException w:name="Light Grid Accent 4" w:uiPriority="62"/>
    <w:lsdException w:name="Colorful Shading Accent 1" w:uiPriority="71"/>
    <w:lsdException w:name="Intense Quote" w:uiPriority="99"/>
    <w:lsdException w:name="Emphasis" w:qFormat="true"/>
    <w:lsdException w:name="No List" w:uiPriority="99" w:semiHidden="true" w:unhideWhenUsed="true"/>
    <w:lsdException w:name="Medium List 2 Accent 2" w:uiPriority="66"/>
    <w:lsdException w:name="Table List 7" w:semiHidden="true" w:unhideWhenUsed="true"/>
    <w:lsdException w:name="HTML Code" w:uiPriority="99"/>
    <w:lsdException w:name="Table Simple 3" w:semiHidden="true" w:unhideWhenUsed="true"/>
    <w:lsdException w:name="HTML Variable" w:uiPriority="99"/>
    <w:lsdException w:name="Light List Accent 1" w:uiPriority="61"/>
    <w:lsdException w:name="Colorful Grid Accent 2" w:uiPriority="73"/>
    <w:lsdException w:name="List Table 6 Colorful Accent 1" w:uiPriority="51"/>
    <w:lsdException w:name="Book Title" w:uiPriority="33" w:qFormat="true"/>
    <w:lsdException w:name="Medium Shading 2 Accent 4" w:uiPriority="64"/>
    <w:lsdException w:name="Medium Shading 1 Accent 3" w:uiPriority="63"/>
    <w:lsdException w:name="heading 9" w:unhideWhenUsed="true" w:qFormat="true"/>
    <w:lsdException w:name="Table Colorful 3" w:semiHidden="true" w:unhideWhenUsed="true"/>
    <w:lsdException w:name="Grid Table 7 Colorful Accent 1" w:uiPriority="52"/>
    <w:lsdException w:name="Table List 6" w:semiHidden="true" w:unhideWhenUsed="true"/>
    <w:lsdException w:name="Colorful Grid Accent 4" w:uiPriority="73"/>
    <w:lsdException w:name="List Table 1 Light Accent 2" w:uiPriority="46"/>
    <w:lsdException w:name="Table Theme" w:semiHidden="true" w:unhideWhenUsed="true"/>
    <w:lsdException w:name="Subtitle" w:qFormat="true"/>
    <w:lsdException w:name="List Paragraph" w:uiPriority="99"/>
    <w:lsdException w:name="Grid Table 4 Accent 1" w:uiPriority="49"/>
    <w:lsdException w:name="Subtle Emphasis" w:uiPriority="19" w:qFormat="true"/>
    <w:lsdException w:name="List Table 7 Colorful Accent 6" w:uiPriority="52"/>
    <w:lsdException w:name="Light Shading Accent 4" w:uiPriority="60"/>
    <w:lsdException w:name="List Table 7 Colorful Accent 3" w:uiPriority="52"/>
    <w:lsdException w:name="Grid Table 4 Accent 4" w:uiPriority="49"/>
    <w:lsdException w:name="Medium List 1 Accent 4" w:uiPriority="65"/>
    <w:lsdException w:name="Dark List Accent 5" w:uiPriority="70"/>
    <w:lsdException w:name="Grid Table 1 Light Accent 3" w:uiPriority="46"/>
    <w:lsdException w:name="Grid Table 1 Light Accent 1" w:uiPriority="46"/>
    <w:lsdException w:name="Grid Table 1 Light Accent 6" w:uiPriority="46"/>
    <w:lsdException w:name="Light Shading" w:uiPriority="60"/>
    <w:lsdException w:name="Subtle Reference" w:uiPriority="31" w:qFormat="true"/>
    <w:lsdException w:name="Plain Table 5" w:uiPriority="45"/>
    <w:lsdException w:name="HTML Keyboard" w:uiPriority="99"/>
    <w:lsdException w:name="Table Grid 2" w:semiHidden="true" w:unhideWhenUsed="true"/>
    <w:lsdException w:name="Grid Table 7 Colorful" w:uiPriority="52"/>
    <w:lsdException w:name="Table Grid 7" w:semiHidden="true" w:unhideWhenUsed="true"/>
    <w:lsdException w:name="heading 7" w:unhideWhenUsed="true" w:qFormat="true"/>
    <w:lsdException w:name="Colorful Shading Accent 2" w:uiPriority="71"/>
    <w:lsdException w:name="List Table 1 Light Accent 6" w:uiPriority="46"/>
    <w:lsdException w:name="Light Grid Accent 3" w:uiPriority="62"/>
    <w:lsdException w:name="Table Contemporary" w:semiHidden="true" w:unhideWhenUsed="true"/>
    <w:lsdException w:name="Grid Table 3 Accent 6" w:uiPriority="48"/>
    <w:lsdException w:name="Medium Shading 1 Accent 4" w:uiPriority="63"/>
    <w:lsdException w:name="Plain Table 1" w:uiPriority="41"/>
    <w:lsdException w:name="Plain Table 2" w:uiPriority="42"/>
    <w:lsdException w:name="List Table 1 Light Accent 5" w:uiPriority="46"/>
    <w:lsdException w:name="Table List 3" w:semiHidden="true" w:unhideWhenUsed="true"/>
    <w:lsdException w:name="List Table 3 Accent 4" w:uiPriority="48"/>
    <w:lsdException w:name="Smart Hyperlink" w:uiPriority="99" w:semiHidden="true" w:unhideWhenUsed="true"/>
    <w:lsdException w:name="List Table 6 Colorful Accent 2" w:uiPriority="51"/>
    <w:lsdException w:name="heading 2" w:qFormat="true"/>
    <w:lsdException w:name="Medium Grid 3 Accent 3" w:uiPriority="69"/>
    <w:lsdException w:name="Strong" w:qFormat="true"/>
    <w:lsdException w:name="List Table 4 Accent 4" w:uiPriority="49"/>
    <w:lsdException w:name="List Table 4" w:uiPriority="49"/>
    <w:lsdException w:name="List Table 3 Accent 6" w:uiPriority="48"/>
    <w:lsdException w:name="Table Grid 6" w:semiHidden="true" w:unhideWhenUsed="true"/>
    <w:lsdException w:name="HTML Address" w:uiPriority="99"/>
    <w:lsdException w:name="Grid Table 5 Dark Accent 2" w:uiPriority="50"/>
    <w:lsdException w:name="Medium List 1 Accent 6" w:uiPriority="65"/>
    <w:lsdException w:name="List Table 5 Dark Accent 5" w:uiPriority="50"/>
    <w:lsdException w:name="HTML Sample" w:uiPriority="99"/>
    <w:lsdException w:name="Table Grid 8" w:semiHidden="true" w:unhideWhenUsed="true"/>
    <w:lsdException w:name="List Table 4 Accent 1" w:uiPriority="49"/>
    <w:lsdException w:name="Grid Table 6 Colorful Accent 6" w:uiPriority="51"/>
    <w:lsdException w:name="Outline List 2" w:uiPriority="99" w:semiHidden="true" w:unhideWhenUsed="true"/>
    <w:lsdException w:name="Medium Grid 2 Accent 1" w:uiPriority="68"/>
    <w:lsdException w:name="Medium Grid 3 Accent 6" w:uiPriority="69"/>
    <w:lsdException w:name="Title" w:qFormat="true"/>
    <w:lsdException w:name="Light List" w:uiPriority="61"/>
    <w:lsdException w:name="List Table 6 Colorful Accent 3" w:uiPriority="51"/>
    <w:lsdException w:name="Medium Shading 2 Accent 6" w:uiPriority="64"/>
    <w:lsdException w:name="Grid Table 5 Dark Accent 5" w:uiPriority="50"/>
    <w:lsdException w:name="Medium List 2 Accent 1" w:uiPriority="66"/>
    <w:lsdException w:name="Intense Emphasis" w:uiPriority="21" w:qFormat="true"/>
    <w:lsdException w:name="List Table 7 Colorful Accent 1" w:uiPriority="52"/>
    <w:lsdException w:name="Grid Table 5 Dark Accent 4" w:uiPriority="50"/>
    <w:lsdException w:name="Table List 4" w:semiHidden="true" w:unhideWhenUsed="true"/>
    <w:lsdException w:name="Table Subtle 2" w:semiHidden="true" w:unhideWhenUsed="true"/>
    <w:lsdException w:name="List Table 3 Accent 2" w:uiPriority="48"/>
    <w:lsdException w:name="Medium Grid 3 Accent 5" w:uiPriority="69"/>
    <w:lsdException w:name="Colorful List Accent 6" w:uiPriority="72"/>
    <w:lsdException w:name="Grid Table 2 Accent 4" w:uiPriority="47"/>
    <w:lsdException w:name="Medium Shading 2 Accent 5" w:uiPriority="64"/>
    <w:lsdException w:name="Medium Grid 1" w:uiPriority="67"/>
    <w:lsdException w:name="Table List 1" w:semiHidden="true" w:unhideWhenUsed="true"/>
    <w:lsdException w:name="Grid Table 5 Dark Accent 1" w:uiPriority="50"/>
    <w:lsdException w:name="Medium List 2 Accent 4" w:uiPriority="66"/>
    <w:lsdException w:name="Medium Grid 1 Accent 4" w:uiPriority="67"/>
    <w:lsdException w:name="HTML Typewriter" w:uiPriority="99"/>
    <w:lsdException w:name="Medium Grid 1 Accent 3" w:uiPriority="67"/>
    <w:lsdException w:name="toc 7" w:uiPriority="99"/>
    <w:lsdException w:name="Unresolved Mention" w:uiPriority="99" w:semiHidden="true" w:unhideWhenUsed="true"/>
    <w:lsdException w:name="heading 8" w:unhideWhenUsed="true" w:qFormat="true"/>
    <w:lsdException w:name="Table Grid 3" w:semiHidden="true" w:unhideWhenUsed="true"/>
    <w:lsdException w:name="Light List Accent 3" w:uiPriority="61"/>
    <w:lsdException w:name="List Table 6 Colorful" w:uiPriority="51"/>
    <w:lsdException w:name="Medium Shading 1" w:uiPriority="63"/>
    <w:lsdException w:name="Colorful Grid Accent 6" w:uiPriority="73"/>
    <w:lsdException w:name="Grid Table 3 Accent 3" w:uiPriority="48"/>
    <w:lsdException w:name="List Table 7 Colorful Accent 2" w:uiPriority="52"/>
    <w:lsdException w:name="Medium Grid 2 Accent 3" w:uiPriority="68"/>
    <w:lsdException w:name="Table Classic 2" w:semiHidden="true" w:unhideWhenUsed="true"/>
    <w:lsdException w:name="List Table 4 Accent 2" w:uiPriority="49"/>
    <w:lsdException w:name="Table Colorful 1" w:semiHidden="true" w:unhideWhenUsed="true"/>
    <w:lsdException w:name="Plain Table 4" w:uiPriority="44"/>
    <w:lsdException w:name="HTML Acronym" w:uiPriority="99"/>
    <w:lsdException w:name="heading 3" w:qFormat="true"/>
    <w:lsdException w:name="Medium Grid 3 Accent 4" w:uiPriority="69"/>
    <w:lsdException w:name="Colorful Shading Accent 4" w:uiPriority="71"/>
    <w:lsdException w:name="List Table 6 Colorful Accent 4" w:uiPriority="51"/>
    <w:lsdException w:name="Medium Shading 1 Accent 6" w:uiPriority="63"/>
    <w:lsdException w:name="heading 6" w:qFormat="true"/>
    <w:lsdException w:name="Table Simple 1" w:semiHidden="true" w:unhideWhenUsed="true"/>
    <w:lsdException w:name="Table Web 1" w:semiHidden="true" w:unhideWhenUsed="true"/>
    <w:lsdException w:name="List Table 7 Colorful Accent 4" w:uiPriority="52"/>
    <w:lsdException w:name="Colorful Grid Accent 5" w:uiPriority="73"/>
    <w:lsdException w:name="No Spacing" w:uiPriority="99"/>
    <w:lsdException w:name="Medium Grid 2 Accent 4" w:uiPriority="68"/>
    <w:lsdException w:name="Table Classic 1" w:semiHidden="true" w:unhideWhenUsed="true"/>
    <w:lsdException w:name="Colorful List Accent 5" w:uiPriority="72"/>
    <w:lsdException w:name="heading 5" w:qFormat="true"/>
    <w:lsdException w:name="Medium List 2 Accent 5" w:uiPriority="66"/>
    <w:lsdException w:name="Grid Table 6 Colorful Accent 4" w:uiPriority="51"/>
    <w:lsdException w:name="Hashtag" w:uiPriority="99" w:semiHidden="true" w:unhideWhenUsed="true"/>
    <w:lsdException w:name="Colorful Shading" w:uiPriority="71"/>
    <w:lsdException w:name="Light Shading Accent 6" w:uiPriority="60"/>
    <w:lsdException w:name="Grid Table 7 Colorful Accent 5" w:uiPriority="52"/>
    <w:lsdException w:name="Medium Grid 2 Accent 6" w:uiPriority="68"/>
    <w:lsdException w:name="Medium Shading 1 Accent 1" w:uiPriority="63"/>
    <w:lsdException w:name="Grid Table 3" w:uiPriority="48"/>
    <w:lsdException w:name="Table 3D effects 2" w:semiHidden="true" w:unhideWhenUsed="true"/>
    <w:lsdException w:name="Light Grid" w:uiPriority="62"/>
    <w:lsdException w:name="Light Shading Accent 1" w:uiPriority="60"/>
    <w:lsdException w:name="Dark List Accent 1" w:uiPriority="70"/>
    <w:lsdException w:name="List Table 4 Accent 5" w:uiPriority="49"/>
    <w:lsdException w:name="footnote text" w:uiPriority="99" w:semiHidden="true" w:unhideWhenUsed="true"/>
    <w:lsdException w:name="Table Elegant" w:semiHidden="true" w:unhideWhenUsed="true"/>
    <w:lsdException w:name="Light Grid Accent 5" w:uiPriority="62"/>
    <w:lsdException w:name="List Table 3 Accent 3" w:uiPriority="48"/>
    <w:lsdException w:name="Normal Table" w:uiPriority="99" w:semiHidden="true" w:unhideWhenUsed="true"/>
    <w:lsdException w:name="Light Grid Accent 6" w:uiPriority="62"/>
    <w:lsdException w:name="List Table 2 Accent 4" w:uiPriority="47"/>
    <w:lsdException w:name="Medium List 2 Accent 6" w:uiPriority="66"/>
    <w:lsdException w:name="List Table 2 Accent 5" w:uiPriority="47"/>
    <w:lsdException w:name="Light List Accent 5" w:uiPriority="61"/>
    <w:lsdException w:name="List Table 5 Dark Accent 4" w:uiPriority="50"/>
    <w:lsdException w:name="Table List 8" w:semiHidden="true" w:unhideWhenUsed="true"/>
    <w:lsdException w:name="Grid Table Light" w:uiPriority="40"/>
    <w:lsdException w:name="List Table 2 Accent 1" w:uiPriority="47"/>
    <w:lsdException w:name="List Table 6 Colorful Accent 6" w:uiPriority="51"/>
    <w:lsdException w:name="List Table 5 Dark Accent 2" w:uiPriority="50"/>
    <w:lsdException w:name="Medium Grid 1 Accent 2" w:uiPriority="67"/>
    <w:lsdException w:name="Normal" w:qFormat="true"/>
    <w:lsdException w:name="Table Grid 1" w:semiHidden="true" w:unhideWhenUsed="true"/>
    <w:lsdException w:name="Colorful Shading Accent 6" w:uiPriority="71"/>
    <w:lsdException w:name="List Table 5 Dark" w:uiPriority="50"/>
    <w:lsdException w:name="Table Grid 4" w:semiHidden="true" w:unhideWhenUsed="true"/>
    <w:lsdException w:name="Grid Table 7 Colorful Accent 3" w:uiPriority="52"/>
    <w:lsdException w:name="toc 2" w:uiPriority="99"/>
    <w:lsdException w:name="Grid Table 6 Colorful Accent 3" w:uiPriority="51"/>
    <w:lsdException w:name="Colorful Shading Accent 5" w:uiPriority="71"/>
    <w:lsdException w:name="Medium Grid 2" w:uiPriority="68"/>
    <w:lsdException w:name="Light Grid Accent 2" w:uiPriority="62"/>
    <w:lsdException w:name="List Table 2 Accent 2" w:uiPriority="47"/>
    <w:lsdException w:name="toc 1" w:uiPriority="99"/>
    <w:lsdException w:name="Grid Table 4 Accent 2" w:uiPriority="49"/>
    <w:lsdException w:name="Colorful List" w:uiPriority="72"/>
    <w:lsdException w:name="TOC Heading" w:uiPriority="39" w:semiHidden="true" w:unhideWhenUsed="true" w:qFormat="true"/>
    <w:lsdException w:name="Grid Table 6 Colorful" w:uiPriority="51"/>
    <w:lsdException w:name="Bibliography" w:uiPriority="37" w:semiHidden="true" w:unhideWhenUsed="true"/>
    <w:lsdException w:name="Grid Table 2 Accent 3" w:uiPriority="47"/>
    <w:lsdException w:name="toc 3" w:uiPriority="99"/>
    <w:lsdException w:name="Light List Accent 6" w:uiPriority="61"/>
    <w:lsdException w:name="Grid Table 1 Light Accent 2" w:uiPriority="46"/>
    <w:lsdException w:name="Table Web 2" w:semiHidden="true" w:unhideWhenUsed="true"/>
    <w:lsdException w:name="Medium List 2" w:uiPriority="66"/>
    <w:lsdException w:name="Colorful Grid Accent 3" w:uiPriority="73"/>
    <w:lsdException w:name="List Table 2 Accent 6" w:uiPriority="47"/>
    <w:lsdException w:name="List Table 4 Accent 3" w:uiPriority="49"/>
    <w:lsdException w:name="List Table 5 Dark Accent 1" w:uiPriority="50"/>
    <w:lsdException w:name="Medium Grid 2 Accent 5" w:uiPriority="68"/>
    <w:lsdException w:name="HTML Cite" w:uiPriority="99"/>
    <w:lsdException w:name="Grid Table 1 Light Accent 4" w:uiPriority="46"/>
    <w:lsdException w:name="Dark List Accent 3" w:uiPriority="70"/>
    <w:lsdException w:name="Grid Table 6 Colorful Accent 1" w:uiPriority="51"/>
    <w:lsdException w:name="Grid Table 4 Accent 5" w:uiPriority="49"/>
    <w:lsdException w:name="Dark List Accent 6" w:uiPriority="70"/>
    <w:lsdException w:name="Medium Shading 1 Accent 2" w:uiPriority="63"/>
    <w:lsdException w:name="HTML Top of Form" w:uiPriority="99" w:semiHidden="true" w:unhideWhenUsed="true"/>
    <w:lsdException w:name="toc 4" w:uiPriority="99"/>
    <w:lsdException w:name="List Table 6 Colorful Accent 5" w:uiPriority="51"/>
    <w:lsdException w:name="Grid Table 2 Accent 5" w:uiPriority="47"/>
    <w:lsdException w:name="Table Simple 2" w:semiHidden="true" w:unhideWhenUsed="true"/>
    <w:lsdException w:name="toc 9" w:uiPriority="99"/>
    <w:lsdException w:name="List Table 1 Light Accent 3" w:uiPriority="46"/>
    <w:lsdException w:name="footnote reference" w:uiPriority="99" w:semiHidden="true" w:unhideWhenUsed="true"/>
    <w:lsdException w:name="Medium List 2 Accent 3" w:uiPriority="66"/>
    <w:lsdException w:name="List Table 4 Accent 6" w:uiPriority="49"/>
    <w:lsdException w:name="Grid Table 5 Dark Accent 3" w:uiPriority="50"/>
    <w:lsdException w:name="Grid Table 7 Colorful Accent 2" w:uiPriority="52"/>
    <w:lsdException w:name="Table Grid 5" w:semiHidden="true" w:unhideWhenUsed="true"/>
    <w:lsdException w:name="Medium Grid 3 Accent 2" w:uiPriority="69"/>
    <w:lsdException w:name="Plain Table 3" w:uiPriority="43"/>
    <w:lsdException w:name="Grid Table 7 Colorful Accent 4" w:uiPriority="52"/>
  </w:latentStyles>
  <w:style w:type="paragraph" w:styleId="000004">
    <w:name w:val="heading 3"/>
    <w:basedOn w:val="000001"/>
    <w:next w:val="000001"/>
    <w:qFormat/>
    <w:pPr>
      <w:keepNext/>
      <w:keepLines/>
      <w:outlineLvl w:val="2"/>
    </w:pPr>
    <w:rPr>
      <w:b/>
      <w:sz w:val="28"/>
    </w:rPr>
  </w:style>
  <w:style w:type="paragraph" w:styleId="000006">
    <w:name w:val="heading 5"/>
    <w:basedOn w:val="000001"/>
    <w:next w:val="000001"/>
    <w:qFormat/>
    <w:pPr>
      <w:keepNext/>
      <w:keepLines/>
      <w:spacing w:line="480" w:lineRule="auto"/>
      <w:outlineLvl w:val="4"/>
    </w:pPr>
    <w:rPr>
      <w:b/>
    </w:rPr>
  </w:style>
  <w:style w:type="character" w:styleId="000014" w:customStyle="true">
    <w:name w:val="标题 字符"/>
    <w:basedOn w:val="00000b"/>
    <w:link w:val="000013"/>
    <w:rPr>
      <w:rFonts w:ascii="Arial" w:hAnsi="Arial" w:eastAsia="微软雅黑" w:cstheme="majorBidi"/>
      <w:b/>
      <w:bCs/>
      <w:kern w:val="2"/>
      <w:sz w:val="48"/>
      <w:szCs w:val="32"/>
    </w:rPr>
  </w:style>
  <w:style w:type="paragraph" w:styleId="000003">
    <w:name w:val="heading 2"/>
    <w:basedOn w:val="000001"/>
    <w:next w:val="000001"/>
    <w:qFormat/>
    <w:pPr>
      <w:keepNext/>
      <w:keepLines/>
      <w:outlineLvl w:val="1"/>
    </w:pPr>
    <w:rPr>
      <w:b/>
      <w:sz w:val="32"/>
    </w:rPr>
  </w:style>
  <w:style w:type="paragraph" w:styleId="000001" w:default="true">
    <w:name w:val="Normal"/>
    <w:qFormat/>
    <w:pPr>
      <w:widowControl w:val="false"/>
      <w:spacing w:before="60" w:after="60"/>
      <w:jc w:val="both"/>
    </w:pPr>
    <w:rPr>
      <w:color w:val="333333"/>
      <w:kern w:val="2"/>
      <w:sz w:val="22"/>
      <w:szCs w:val="24"/>
    </w:rPr>
  </w:style>
  <w:style w:type="paragraph" w:styleId="00000f">
    <w:name w:val="footer"/>
    <w:basedOn w:val="000001"/>
    <w:pPr>
      <w:tabs>
        <w:tab w:val="center" w:pos="4153"/>
        <w:tab w:val="right" w:pos="8306"/>
      </w:tabs>
      <w:snapToGrid w:val="false"/>
      <w:jc w:val="center"/>
    </w:pPr>
    <w:rPr>
      <w:sz w:val="18"/>
      <w:szCs w:val="18"/>
    </w:rPr>
  </w:style>
  <w:style w:type="paragraph" w:styleId="000013">
    <w:name w:val="Title"/>
    <w:basedOn w:val="000001"/>
    <w:next w:val="000001"/>
    <w:link w:val="000014"/>
    <w:qFormat/>
    <w:pPr>
      <w:jc w:val="center"/>
      <w:outlineLvl w:val="0"/>
    </w:pPr>
    <w:rPr>
      <w:rFonts w:cstheme="majorBidi"/>
      <w:b/>
      <w:bCs/>
      <w:sz w:val="48"/>
      <w:szCs w:val="32"/>
    </w:rPr>
  </w:style>
  <w:style w:type="paragraph" w:styleId="00000a">
    <w:name w:val="heading 9"/>
    <w:basedOn w:val="000001"/>
    <w:next w:val="000001"/>
    <w:unhideWhenUsed/>
    <w:qFormat/>
    <w:pPr>
      <w:keepNext/>
      <w:keepLines/>
      <w:spacing w:line="480" w:lineRule="auto"/>
      <w:outlineLvl w:val="8"/>
    </w:pPr>
    <w:rPr>
      <w:b/>
    </w:rPr>
  </w:style>
  <w:style w:type="paragraph" w:styleId="00000e">
    <w:name w:val="toc 8"/>
    <w:basedOn w:val="000001"/>
    <w:next w:val="000001"/>
    <w:autoRedefine/>
    <w:uiPriority w:val="99"/>
    <w:pPr>
      <w:ind w:left="2940" w:leftChars="1400"/>
    </w:pPr>
  </w:style>
  <w:style w:type="paragraph" w:styleId="000018" w:customStyle="true">
    <w:name w:val="melo-codeblock-Base-theme-para"/>
    <w:uiPriority w:val="99"/>
    <w:pPr>
      <w:snapToGrid w:val="false"/>
      <w:spacing w:line="360" w:lineRule="auto"/>
    </w:pPr>
    <w:rPr>
      <w:rFonts w:ascii="Monaco" w:hAnsi="Monaco" w:eastAsia="Monaco" w:cs="Monaco"/>
      <w:color w:val="000000"/>
      <w:sz w:val="21"/>
    </w:rPr>
  </w:style>
  <w:style w:type="numbering" w:styleId="00000d" w:default="true">
    <w:name w:val="No List"/>
    <w:uiPriority w:val="99"/>
    <w:semiHidden/>
    <w:unhideWhenUsed/>
  </w:style>
  <w:style w:type="paragraph" w:styleId="000011">
    <w:name w:val="Subtitle"/>
    <w:basedOn w:val="000001"/>
    <w:next w:val="000001"/>
    <w:link w:val="000012"/>
    <w:qFormat/>
    <w:pPr>
      <w:jc w:val="center"/>
      <w:outlineLvl w:val="1"/>
    </w:pPr>
    <w:rPr>
      <w:rFonts w:cstheme="minorBidi"/>
      <w:b/>
      <w:bCs/>
      <w:kern w:val="28"/>
      <w:sz w:val="44"/>
      <w:szCs w:val="32"/>
    </w:rPr>
  </w:style>
  <w:style w:type="table" w:styleId="00000c" w:default="true">
    <w:name w:val="Normal Table"/>
    <w:uiPriority w:val="99"/>
    <w:semiHidden/>
    <w:unhideWhenUsed/>
    <w:tblPr>
      <w:tblInd w:w="0" w:type="dxa"/>
      <w:tblCellMar>
        <w:top w:w="0" w:type="dxa"/>
        <w:left w:w="108" w:type="dxa"/>
        <w:bottom w:w="0" w:type="dxa"/>
        <w:right w:w="108" w:type="dxa"/>
      </w:tblCellMar>
    </w:tblPr>
  </w:style>
  <w:style w:type="character" w:styleId="00000b" w:default="true">
    <w:name w:val="Default Paragraph Font"/>
    <w:uiPriority w:val="1"/>
    <w:semiHidden/>
    <w:unhideWhenUsed/>
  </w:style>
  <w:style w:type="table" w:styleId="000015">
    <w:name w:val="Table Grid"/>
    <w:basedOn w:val="00000c"/>
    <w:tblPr>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Pr>
    <w:tcPr>
      <w:vAlign w:val="center"/>
    </w:tcPr>
  </w:style>
  <w:style w:type="paragraph" w:styleId="000009">
    <w:name w:val="heading 8"/>
    <w:basedOn w:val="000001"/>
    <w:next w:val="000001"/>
    <w:unhideWhenUsed/>
    <w:qFormat/>
    <w:pPr>
      <w:keepNext/>
      <w:keepLines/>
      <w:spacing w:line="480" w:lineRule="auto"/>
      <w:outlineLvl w:val="7"/>
    </w:pPr>
    <w:rPr>
      <w:b/>
    </w:rPr>
  </w:style>
  <w:style w:type="paragraph" w:styleId="000002">
    <w:name w:val="heading 1"/>
    <w:basedOn w:val="000001"/>
    <w:next w:val="000001"/>
    <w:qFormat/>
    <w:pPr>
      <w:keepNext/>
      <w:keepLines/>
      <w:outlineLvl w:val="0"/>
    </w:pPr>
    <w:rPr>
      <w:b/>
      <w:kern w:val="44"/>
      <w:sz w:val="36"/>
    </w:rPr>
  </w:style>
  <w:style w:type="character" w:styleId="000016">
    <w:name w:val="Hyperlink"/>
    <w:basedOn w:val=""/>
    <w:pPr/>
    <w:rPr>
      <w:color w:val="1E6FFF"/>
      <w:u w:val="single"/>
    </w:rPr>
  </w:style>
  <w:style w:type="paragraph" w:styleId="000005">
    <w:name w:val="heading 4"/>
    <w:basedOn w:val="000001"/>
    <w:next w:val="000001"/>
    <w:qFormat/>
    <w:pPr>
      <w:keepNext/>
      <w:keepLines/>
      <w:outlineLvl w:val="3"/>
    </w:pPr>
    <w:rPr>
      <w:b/>
      <w:sz w:val="24"/>
    </w:rPr>
  </w:style>
  <w:style w:type="character" w:styleId="000017" w:customStyle="true">
    <w:name w:val="melo-codeblock-Base-theme-char"/>
    <w:uiPriority w:val="99"/>
    <w:rPr>
      <w:rFonts w:ascii="Monaco" w:hAnsi="Monaco" w:eastAsia="Monaco" w:cs="Monaco"/>
      <w:color w:val="000000"/>
      <w:sz w:val="21"/>
    </w:rPr>
  </w:style>
  <w:style w:type="character" w:styleId="000012" w:customStyle="true">
    <w:name w:val="副标题 字符"/>
    <w:basedOn w:val="00000b"/>
    <w:link w:val="000011"/>
    <w:rPr>
      <w:rFonts w:ascii="Arial" w:hAnsi="Arial" w:eastAsia="微软雅黑" w:cstheme="minorBidi"/>
      <w:b/>
      <w:bCs/>
      <w:kern w:val="28"/>
      <w:sz w:val="44"/>
      <w:szCs w:val="32"/>
    </w:rPr>
  </w:style>
  <w:style w:type="paragraph" w:styleId="000010">
    <w:name w:val="header"/>
    <w:basedOn w:val="000001"/>
    <w:pPr>
      <w:pBdr>
        <w:bottom w:val="single" w:color="auto" w:sz="6" w:space="1"/>
      </w:pBdr>
      <w:tabs>
        <w:tab w:val="center" w:pos="4153"/>
        <w:tab w:val="right" w:pos="8306"/>
      </w:tabs>
      <w:snapToGrid w:val="false"/>
      <w:jc w:val="center"/>
    </w:pPr>
    <w:rPr>
      <w:sz w:val="18"/>
      <w:szCs w:val="18"/>
    </w:rPr>
  </w:style>
  <w:style w:type="paragraph" w:styleId="000008">
    <w:name w:val="heading 7"/>
    <w:basedOn w:val="000001"/>
    <w:next w:val="000001"/>
    <w:unhideWhenUsed/>
    <w:qFormat/>
    <w:pPr>
      <w:keepNext/>
      <w:keepLines/>
      <w:spacing w:line="480" w:lineRule="auto"/>
      <w:outlineLvl w:val="6"/>
    </w:pPr>
    <w:rPr>
      <w:b/>
    </w:rPr>
  </w:style>
  <w:style w:type="paragraph" w:styleId="000007">
    <w:name w:val="heading 6"/>
    <w:basedOn w:val="000001"/>
    <w:next w:val="000001"/>
    <w:qFormat/>
    <w:pPr>
      <w:keepNext/>
      <w:keepLines/>
      <w:spacing w:line="480" w:lineRule="auto"/>
      <w:outlineLvl w:val="5"/>
    </w:pPr>
    <w:rPr>
      <w:b/>
    </w:rPr>
  </w:style>
</w:styles>
</file>

<file path=word/_rels/document.xml.rels><?xml version="1.0" encoding="UTF-8" standalone="yes"?><Relationships xmlns="http://schemas.openxmlformats.org/package/2006/relationships"><Relationship Id="rId6" Type="http://schemas.openxmlformats.org/officeDocument/2006/relationships/image" Target="media/image2.png" /><Relationship Id="rId5" Type="http://schemas.openxmlformats.org/officeDocument/2006/relationships/image" Target="media/image1.png" /><Relationship Id="rId8" Type="http://schemas.openxmlformats.org/officeDocument/2006/relationships/image" Target="media/image4.png" /><Relationship Id="rId4" Type="http://schemas.openxmlformats.org/officeDocument/2006/relationships/numbering" Target="numbering.xml" /><Relationship Id="rId9" Type="http://schemas.openxmlformats.org/officeDocument/2006/relationships/image" Target="media/image5.png" /><Relationship Id="rId3" Type="http://schemas.openxmlformats.org/officeDocument/2006/relationships/theme" Target="theme/theme1.xml" /><Relationship Id="rId15" Type="http://schemas.openxmlformats.org/officeDocument/2006/relationships/image" Target="media/image11.png" /><Relationship Id="rId14" Type="http://schemas.openxmlformats.org/officeDocument/2006/relationships/image" Target="media/image10.png" /><Relationship Id="rId1" Type="http://schemas.openxmlformats.org/officeDocument/2006/relationships/settings" Target="settings.xml" /><Relationship Id="rId7" Type="http://schemas.openxmlformats.org/officeDocument/2006/relationships/image" Target="media/image3.png" /><Relationship Id="rId0" Type="http://schemas.openxmlformats.org/officeDocument/2006/relationships/styles" Target="styles.xml" /><Relationship Id="rId12" Type="http://schemas.openxmlformats.org/officeDocument/2006/relationships/image" Target="media/image8.png" /><Relationship Id="rId13" Type="http://schemas.openxmlformats.org/officeDocument/2006/relationships/image" Target="media/image9.png" /><Relationship Id="rId10" Type="http://schemas.openxmlformats.org/officeDocument/2006/relationships/image" Target="media/image6.png" /><Relationship Id="rId2" Type="http://schemas.openxmlformats.org/officeDocument/2006/relationships/fontTable" Target="fontTable.xml" /><Relationship Id="rId11" Type="http://schemas.openxmlformats.org/officeDocument/2006/relationships/image" Target="media/image7.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1E6FFF"/>
      </a:hlink>
      <a:folHlink>
        <a:srgbClr val="954F72"/>
      </a:folHlink>
    </a:clrScheme>
    <a:fontScheme name="Office">
      <a:majorFont>
        <a:latin typeface="Calibri Light"/>
        <a:ea typeface=""/>
        <a:cs typeface=""/>
        <a:font script="Jpan" typeface="ＭＳ ゴシック"/>
        <a:font script="Hang" typeface="맑은 고딕"/>
        <a:font script="Hans" typeface="微软雅黑"/>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微软雅黑"/>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true">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false"/>
        </a:gradFill>
        <a:gradFill rotWithShape="true">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false"/>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false">
              <a:srgbClr val="000000">
                <a:alpha val="63000"/>
              </a:srgbClr>
            </a:outerShdw>
          </a:effectLst>
        </a:effectStyle>
      </a:effectStyleLst>
      <a:bgFillStyleLst>
        <a:solidFill>
          <a:schemeClr val="phClr"/>
        </a:solidFill>
        <a:solidFill>
          <a:schemeClr val="phClr">
            <a:tint val="95000"/>
            <a:satMod val="170000"/>
          </a:schemeClr>
        </a:solidFill>
        <a:gradFill rotWithShape="true">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false"/>
        </a:gradFill>
      </a:bgFillStyleLst>
    </a:fmtScheme>
  </a:themeElements>
  <a:objectDefaults/>
  <a:extraClrSchemeLst/>
</a:theme>
</file>

<file path=docProps/app.xml><?xml version="1.0" encoding="utf-8"?>
<Properties xmlns:vt="http://schemas.openxmlformats.org/officeDocument/2006/docPropsVTypes" xmlns="http://schemas.openxmlformats.org/officeDocument/2006/extended-properties">
  <Application>Tencent office</Application>
</Properties>
</file>

<file path=docProps/core.xml><?xml version="1.0" encoding="utf-8"?>
<cp:coreProperties xmlns:xsi="http://www.w3.org/2001/XMLSchema-instance" xmlns:dcmitype="http://purl.org/dc/dcmitype/" xmlns:dcterms="http://purl.org/dc/terms/" xmlns:cp="http://schemas.openxmlformats.org/package/2006/metadata/core-properties" xmlns:dc="http://purl.org/dc/elements/1.1/">
  <dcterms:created xsi:type="dcterms:W3CDTF">2025-04-20T15:47:38Z</dcterms:created>
  <dcterms:modified xsi:type="dcterms:W3CDTF">2025-04-20T15:47:38Z</dcterms:modified>
</cp:coreProperties>
</file>